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7"/>
        <w:rPr>
          <w:sz w:val="15"/>
        </w:rPr>
      </w:pPr>
    </w:p>
    <w:p>
      <w:pPr>
        <w:spacing w:before="101"/>
        <w:ind w:left="1440" w:right="0" w:firstLine="0"/>
        <w:jc w:val="both"/>
        <w:rPr>
          <w:rFonts w:ascii="Verdana"/>
          <w:sz w:val="48"/>
        </w:rPr>
      </w:pPr>
      <w:r>
        <w:rPr>
          <w:rFonts w:ascii="Verdana"/>
          <w:color w:val="1B577B"/>
          <w:sz w:val="48"/>
        </w:rPr>
        <w:t>Suburban Policy</w:t>
      </w:r>
      <w:r>
        <w:rPr>
          <w:rFonts w:ascii="Verdana"/>
          <w:color w:val="1B577B"/>
          <w:spacing w:val="-78"/>
          <w:sz w:val="48"/>
        </w:rPr>
        <w:t> </w:t>
      </w:r>
      <w:r>
        <w:rPr>
          <w:rFonts w:ascii="Verdana"/>
          <w:color w:val="1B577B"/>
          <w:sz w:val="48"/>
        </w:rPr>
        <w:t>Area</w:t>
      </w:r>
    </w:p>
    <w:p>
      <w:pPr>
        <w:pStyle w:val="Heading2"/>
        <w:spacing w:before="96"/>
        <w:jc w:val="both"/>
      </w:pPr>
      <w:r>
        <w:rPr>
          <w:w w:val="95"/>
        </w:rPr>
        <w:t>Vision</w:t>
      </w:r>
    </w:p>
    <w:p>
      <w:pPr>
        <w:pStyle w:val="BodyText"/>
        <w:spacing w:line="259" w:lineRule="auto" w:before="25"/>
        <w:ind w:left="1440" w:right="1436"/>
        <w:jc w:val="both"/>
      </w:pPr>
      <w:r>
        <w:rPr/>
        <w:pict>
          <v:group style="position:absolute;margin-left:90.066002pt;margin-top:49.063099pt;width:451.15pt;height:419pt;mso-position-horizontal-relative:page;mso-position-vertical-relative:paragraph;z-index:-33328" coordorigin="1801,981" coordsize="9023,8380">
            <v:shape style="position:absolute;left:1801;top:981;width:7906;height:8380" coordorigin="1801,981" coordsize="7906,8380" path="m4498,8245l4492,8172,4477,8094,4455,8011,4432,7942,4402,7869,4367,7794,4325,7716,4276,7636,4236,7577,4200,7526,4200,8212,4197,8268,4185,8325,4167,8382,4138,8442,4097,8505,4044,8571,3979,8640,3674,8946,2216,7488,2517,7187,2598,7111,2672,7051,2740,7008,2801,6981,2868,6966,2941,6962,3020,6969,3105,6987,3195,7016,3255,7042,3317,7074,3380,7113,3446,7158,3514,7209,3584,7268,3656,7332,3729,7404,3789,7465,3844,7525,3896,7584,3943,7642,3986,7699,4024,7754,4059,7808,4101,7883,4136,7955,4163,8024,4183,8091,4196,8155,4200,8212,4200,7526,4194,7517,4148,7457,4098,7397,4045,7336,3989,7274,3929,7212,3865,7150,3801,7092,3737,7037,3673,6985,3643,6962,3609,6937,3546,6893,3482,6852,3419,6814,3346,6776,3274,6744,3203,6716,3132,6694,3062,6677,2992,6665,2923,6658,2850,6657,2779,6663,2709,6678,2642,6701,2577,6731,2528,6760,2476,6797,2420,6842,2359,6897,2294,6959,1801,7452,3710,9360,4124,8946,4226,8844,4287,8779,4341,8713,4386,8648,4424,8581,4454,8514,4476,8448,4491,8381,4498,8314,4498,8245m6418,6652l6056,6524,5650,6381,5561,6352,5475,6328,5393,6309,5364,6304,5314,6295,5239,6285,5193,6283,5143,6286,5089,6293,5030,6304,5074,6234,5109,6165,5136,6096,5154,6027,5164,5958,5165,5890,5157,5822,5139,5744,5111,5668,5075,5593,5030,5521,4976,5450,4956,5427,4913,5381,4872,5343,4872,5900,4868,5956,4854,6011,4830,6067,4794,6126,4747,6187,4687,6251,4413,6524,4280,6658,3649,6026,4102,5573,4166,5516,4229,5473,4293,5444,4358,5428,4422,5427,4501,5443,4577,5472,4649,5517,4718,5577,4761,5624,4797,5675,4827,5729,4851,5785,4867,5843,4872,5900,4872,5343,4849,5322,4782,5269,4713,5224,4641,5185,4566,5153,4474,5125,4386,5112,4303,5114,4225,5130,4163,5155,4098,5192,4030,5240,3958,5299,3883,5370,3248,6005,5157,7913,5346,7724,4499,6876,4718,6658,4753,6623,4783,6596,4810,6575,4833,6560,4863,6547,4896,6536,4932,6528,4971,6524,5014,6524,5066,6529,5125,6540,5194,6556,5256,6574,5328,6594,5407,6619,5496,6649,6180,6890,6418,6652m7780,5290l7415,5094,6555,4640,6555,4947,6070,5433,5989,5290,5748,4859,5708,4787,5668,4716,5629,4650,5590,4585,5550,4522,5509,4458,5467,4396,5424,4335,5380,4274,5436,4310,5498,4348,5564,4388,5635,4430,5792,4520,6555,4947,6555,4640,5862,4274,5286,3967,5082,4171,5277,4522,5316,4592,5701,5290,6168,6138,6441,6629,6642,6428,6565,6295,6298,5826,6221,5693,6481,5433,6820,5094,7565,5505,7780,5290m8131,4939l7264,4072,7489,3847,7936,3400,7711,3175,7039,3847,6448,3256,7224,2480,6999,2255,6033,3220,7941,5128,8131,4939m9707,3363l8213,1869,8024,1680,8497,1206,8272,981,7138,2116,7363,2341,7834,1869,9517,3552,9707,3363e" filled="true" fillcolor="#c0c0c0" stroked="false">
              <v:path arrowok="t"/>
              <v:fill opacity="32896f" type="solid"/>
            </v:shape>
            <v:shape style="position:absolute;left:6288;top:5671;width:4536;height:3021" type="#_x0000_t75" stroked="false">
              <v:imagedata r:id="rId7" o:title=""/>
            </v:shape>
            <w10:wrap type="none"/>
          </v:group>
        </w:pict>
      </w:r>
      <w:r>
        <w:rPr/>
        <w:t>The Suburban Policy Area (SPA) contains self-sustaining communities that offer a mix of residential,</w:t>
      </w:r>
      <w:r>
        <w:rPr>
          <w:spacing w:val="-9"/>
        </w:rPr>
        <w:t> </w:t>
      </w:r>
      <w:r>
        <w:rPr/>
        <w:t>commercial,</w:t>
      </w:r>
      <w:r>
        <w:rPr>
          <w:spacing w:val="-7"/>
        </w:rPr>
        <w:t> </w:t>
      </w:r>
      <w:r>
        <w:rPr/>
        <w:t>and</w:t>
      </w:r>
      <w:r>
        <w:rPr>
          <w:spacing w:val="-10"/>
        </w:rPr>
        <w:t> </w:t>
      </w:r>
      <w:r>
        <w:rPr/>
        <w:t>employment</w:t>
      </w:r>
      <w:r>
        <w:rPr>
          <w:spacing w:val="-9"/>
        </w:rPr>
        <w:t> </w:t>
      </w:r>
      <w:r>
        <w:rPr/>
        <w:t>uses;</w:t>
      </w:r>
      <w:r>
        <w:rPr>
          <w:spacing w:val="-7"/>
        </w:rPr>
        <w:t> </w:t>
      </w:r>
      <w:r>
        <w:rPr/>
        <w:t>a</w:t>
      </w:r>
      <w:r>
        <w:rPr>
          <w:spacing w:val="-11"/>
        </w:rPr>
        <w:t> </w:t>
      </w:r>
      <w:r>
        <w:rPr/>
        <w:t>full</w:t>
      </w:r>
      <w:r>
        <w:rPr>
          <w:spacing w:val="-9"/>
        </w:rPr>
        <w:t> </w:t>
      </w:r>
      <w:r>
        <w:rPr/>
        <w:t>complement</w:t>
      </w:r>
      <w:r>
        <w:rPr>
          <w:spacing w:val="-10"/>
        </w:rPr>
        <w:t> </w:t>
      </w:r>
      <w:r>
        <w:rPr/>
        <w:t>of</w:t>
      </w:r>
      <w:r>
        <w:rPr>
          <w:spacing w:val="-10"/>
        </w:rPr>
        <w:t> </w:t>
      </w:r>
      <w:r>
        <w:rPr/>
        <w:t>public</w:t>
      </w:r>
      <w:r>
        <w:rPr>
          <w:spacing w:val="-8"/>
        </w:rPr>
        <w:t> </w:t>
      </w:r>
      <w:r>
        <w:rPr/>
        <w:t>services</w:t>
      </w:r>
      <w:r>
        <w:rPr>
          <w:spacing w:val="-7"/>
        </w:rPr>
        <w:t> </w:t>
      </w:r>
      <w:r>
        <w:rPr/>
        <w:t>and</w:t>
      </w:r>
      <w:r>
        <w:rPr>
          <w:spacing w:val="-10"/>
        </w:rPr>
        <w:t> </w:t>
      </w:r>
      <w:r>
        <w:rPr/>
        <w:t>facilities; amenities that support a high quality of life; and a design that incorporates a holistic approach </w:t>
      </w:r>
      <w:r>
        <w:rPr>
          <w:spacing w:val="2"/>
        </w:rPr>
        <w:t>to </w:t>
      </w:r>
      <w:r>
        <w:rPr/>
        <w:t>maintaining and improving community character through compatible</w:t>
      </w:r>
      <w:r>
        <w:rPr>
          <w:spacing w:val="-10"/>
        </w:rPr>
        <w:t> </w:t>
      </w:r>
      <w:r>
        <w:rPr/>
        <w:t>development.</w:t>
      </w:r>
    </w:p>
    <w:p>
      <w:pPr>
        <w:pStyle w:val="Heading2"/>
        <w:spacing w:before="167"/>
        <w:jc w:val="both"/>
      </w:pPr>
      <w:r>
        <w:rPr>
          <w:w w:val="90"/>
        </w:rPr>
        <w:t>Introduction</w:t>
      </w:r>
    </w:p>
    <w:p>
      <w:pPr>
        <w:pStyle w:val="BodyText"/>
        <w:spacing w:line="259" w:lineRule="auto" w:before="26"/>
        <w:ind w:left="1440" w:right="1436"/>
        <w:jc w:val="both"/>
      </w:pPr>
      <w:r>
        <w:rPr/>
        <w:t>The</w:t>
      </w:r>
      <w:r>
        <w:rPr>
          <w:spacing w:val="-7"/>
        </w:rPr>
        <w:t> </w:t>
      </w:r>
      <w:r>
        <w:rPr/>
        <w:t>46,000-acre</w:t>
      </w:r>
      <w:r>
        <w:rPr>
          <w:spacing w:val="-8"/>
        </w:rPr>
        <w:t> </w:t>
      </w:r>
      <w:r>
        <w:rPr/>
        <w:t>SPA</w:t>
      </w:r>
      <w:r>
        <w:rPr>
          <w:spacing w:val="-7"/>
        </w:rPr>
        <w:t> </w:t>
      </w:r>
      <w:r>
        <w:rPr/>
        <w:t>is</w:t>
      </w:r>
      <w:r>
        <w:rPr>
          <w:spacing w:val="-6"/>
        </w:rPr>
        <w:t> </w:t>
      </w:r>
      <w:r>
        <w:rPr/>
        <w:t>located</w:t>
      </w:r>
      <w:r>
        <w:rPr>
          <w:spacing w:val="-7"/>
        </w:rPr>
        <w:t> </w:t>
      </w:r>
      <w:r>
        <w:rPr/>
        <w:t>in</w:t>
      </w:r>
      <w:r>
        <w:rPr>
          <w:spacing w:val="-6"/>
        </w:rPr>
        <w:t> </w:t>
      </w:r>
      <w:r>
        <w:rPr/>
        <w:t>the</w:t>
      </w:r>
      <w:r>
        <w:rPr>
          <w:spacing w:val="-7"/>
        </w:rPr>
        <w:t> </w:t>
      </w:r>
      <w:r>
        <w:rPr/>
        <w:t>easternmost</w:t>
      </w:r>
      <w:r>
        <w:rPr>
          <w:spacing w:val="-6"/>
        </w:rPr>
        <w:t> </w:t>
      </w:r>
      <w:r>
        <w:rPr/>
        <w:t>portion</w:t>
      </w:r>
      <w:r>
        <w:rPr>
          <w:spacing w:val="-6"/>
        </w:rPr>
        <w:t> </w:t>
      </w:r>
      <w:r>
        <w:rPr/>
        <w:t>of</w:t>
      </w:r>
      <w:r>
        <w:rPr>
          <w:spacing w:val="-7"/>
        </w:rPr>
        <w:t> </w:t>
      </w:r>
      <w:r>
        <w:rPr/>
        <w:t>the</w:t>
      </w:r>
      <w:r>
        <w:rPr>
          <w:spacing w:val="-7"/>
        </w:rPr>
        <w:t> </w:t>
      </w:r>
      <w:r>
        <w:rPr/>
        <w:t>County,</w:t>
      </w:r>
      <w:r>
        <w:rPr>
          <w:spacing w:val="-6"/>
        </w:rPr>
        <w:t> </w:t>
      </w:r>
      <w:r>
        <w:rPr/>
        <w:t>in</w:t>
      </w:r>
      <w:r>
        <w:rPr>
          <w:spacing w:val="-4"/>
        </w:rPr>
        <w:t> </w:t>
      </w:r>
      <w:r>
        <w:rPr/>
        <w:t>close</w:t>
      </w:r>
      <w:r>
        <w:rPr>
          <w:spacing w:val="-6"/>
        </w:rPr>
        <w:t> </w:t>
      </w:r>
      <w:r>
        <w:rPr/>
        <w:t>proximity</w:t>
      </w:r>
      <w:r>
        <w:rPr>
          <w:spacing w:val="-13"/>
        </w:rPr>
        <w:t> </w:t>
      </w:r>
      <w:r>
        <w:rPr/>
        <w:t>to</w:t>
      </w:r>
      <w:r>
        <w:rPr>
          <w:spacing w:val="-6"/>
        </w:rPr>
        <w:t> </w:t>
      </w:r>
      <w:r>
        <w:rPr/>
        <w:t>the job centers and activity areas located east of Loudoun. The Suburban Policy Area is defined on the</w:t>
      </w:r>
      <w:r>
        <w:rPr>
          <w:spacing w:val="-7"/>
        </w:rPr>
        <w:t> </w:t>
      </w:r>
      <w:r>
        <w:rPr/>
        <w:t>north</w:t>
      </w:r>
      <w:r>
        <w:rPr>
          <w:spacing w:val="-7"/>
        </w:rPr>
        <w:t> </w:t>
      </w:r>
      <w:r>
        <w:rPr/>
        <w:t>by</w:t>
      </w:r>
      <w:r>
        <w:rPr>
          <w:spacing w:val="-11"/>
        </w:rPr>
        <w:t> </w:t>
      </w:r>
      <w:r>
        <w:rPr/>
        <w:t>the</w:t>
      </w:r>
      <w:r>
        <w:rPr>
          <w:spacing w:val="-7"/>
        </w:rPr>
        <w:t> </w:t>
      </w:r>
      <w:r>
        <w:rPr/>
        <w:t>Potomac</w:t>
      </w:r>
      <w:r>
        <w:rPr>
          <w:spacing w:val="-5"/>
        </w:rPr>
        <w:t> </w:t>
      </w:r>
      <w:r>
        <w:rPr/>
        <w:t>River</w:t>
      </w:r>
      <w:r>
        <w:rPr>
          <w:spacing w:val="-7"/>
        </w:rPr>
        <w:t> </w:t>
      </w:r>
      <w:r>
        <w:rPr/>
        <w:t>and</w:t>
      </w:r>
      <w:r>
        <w:rPr>
          <w:spacing w:val="-6"/>
        </w:rPr>
        <w:t> </w:t>
      </w:r>
      <w:r>
        <w:rPr/>
        <w:t>on</w:t>
      </w:r>
      <w:r>
        <w:rPr>
          <w:spacing w:val="-6"/>
        </w:rPr>
        <w:t> </w:t>
      </w:r>
      <w:r>
        <w:rPr/>
        <w:t>the</w:t>
      </w:r>
      <w:r>
        <w:rPr>
          <w:spacing w:val="-7"/>
        </w:rPr>
        <w:t> </w:t>
      </w:r>
      <w:r>
        <w:rPr/>
        <w:t>south</w:t>
      </w:r>
      <w:r>
        <w:rPr>
          <w:spacing w:val="-6"/>
        </w:rPr>
        <w:t> </w:t>
      </w:r>
      <w:r>
        <w:rPr/>
        <w:t>by</w:t>
      </w:r>
      <w:r>
        <w:rPr>
          <w:spacing w:val="-9"/>
        </w:rPr>
        <w:t> </w:t>
      </w:r>
      <w:r>
        <w:rPr/>
        <w:t>Braddock</w:t>
      </w:r>
      <w:r>
        <w:rPr>
          <w:spacing w:val="-6"/>
        </w:rPr>
        <w:t> </w:t>
      </w:r>
      <w:r>
        <w:rPr/>
        <w:t>Road.</w:t>
      </w:r>
      <w:r>
        <w:rPr>
          <w:spacing w:val="-4"/>
        </w:rPr>
        <w:t> </w:t>
      </w:r>
      <w:r>
        <w:rPr/>
        <w:t>Its</w:t>
      </w:r>
      <w:r>
        <w:rPr>
          <w:spacing w:val="-6"/>
        </w:rPr>
        <w:t> </w:t>
      </w:r>
      <w:r>
        <w:rPr/>
        <w:t>eastern</w:t>
      </w:r>
      <w:r>
        <w:rPr>
          <w:spacing w:val="-7"/>
        </w:rPr>
        <w:t> </w:t>
      </w:r>
      <w:r>
        <w:rPr/>
        <w:t>edge</w:t>
      </w:r>
      <w:r>
        <w:rPr>
          <w:spacing w:val="-7"/>
        </w:rPr>
        <w:t> </w:t>
      </w:r>
      <w:r>
        <w:rPr/>
        <w:t>is</w:t>
      </w:r>
      <w:r>
        <w:rPr>
          <w:spacing w:val="-6"/>
        </w:rPr>
        <w:t> </w:t>
      </w:r>
      <w:r>
        <w:rPr/>
        <w:t>the</w:t>
      </w:r>
      <w:r>
        <w:rPr>
          <w:spacing w:val="-4"/>
        </w:rPr>
        <w:t> </w:t>
      </w:r>
      <w:r>
        <w:rPr/>
        <w:t>Fairfax County line, and its western edge begins at the Potomac River and follows a southerly path along the Goose Creek just east of Leesburg, the Goose Creek and Beaverdam Reservoirs, and a combination of property lines, roads, power line easements, and Washington Dulles International Airport’s</w:t>
      </w:r>
      <w:r>
        <w:rPr>
          <w:spacing w:val="-12"/>
        </w:rPr>
        <w:t> </w:t>
      </w:r>
      <w:r>
        <w:rPr/>
        <w:t>65</w:t>
      </w:r>
      <w:r>
        <w:rPr>
          <w:spacing w:val="-10"/>
        </w:rPr>
        <w:t> </w:t>
      </w:r>
      <w:r>
        <w:rPr/>
        <w:t>Ldn</w:t>
      </w:r>
      <w:r>
        <w:rPr>
          <w:spacing w:val="-12"/>
        </w:rPr>
        <w:t> </w:t>
      </w:r>
      <w:r>
        <w:rPr/>
        <w:t>(day-night</w:t>
      </w:r>
      <w:r>
        <w:rPr>
          <w:spacing w:val="-12"/>
        </w:rPr>
        <w:t> </w:t>
      </w:r>
      <w:r>
        <w:rPr/>
        <w:t>average</w:t>
      </w:r>
      <w:r>
        <w:rPr>
          <w:spacing w:val="-13"/>
        </w:rPr>
        <w:t> </w:t>
      </w:r>
      <w:r>
        <w:rPr/>
        <w:t>noise</w:t>
      </w:r>
      <w:r>
        <w:rPr>
          <w:spacing w:val="-12"/>
        </w:rPr>
        <w:t> </w:t>
      </w:r>
      <w:r>
        <w:rPr/>
        <w:t>level)</w:t>
      </w:r>
      <w:r>
        <w:rPr>
          <w:spacing w:val="-13"/>
        </w:rPr>
        <w:t> </w:t>
      </w:r>
      <w:r>
        <w:rPr/>
        <w:t>noise</w:t>
      </w:r>
      <w:r>
        <w:rPr>
          <w:spacing w:val="-12"/>
        </w:rPr>
        <w:t> </w:t>
      </w:r>
      <w:r>
        <w:rPr/>
        <w:t>contours.</w:t>
      </w:r>
      <w:r>
        <w:rPr>
          <w:spacing w:val="-12"/>
        </w:rPr>
        <w:t> </w:t>
      </w:r>
      <w:r>
        <w:rPr/>
        <w:t>The</w:t>
      </w:r>
      <w:r>
        <w:rPr>
          <w:spacing w:val="-13"/>
        </w:rPr>
        <w:t> </w:t>
      </w:r>
      <w:r>
        <w:rPr/>
        <w:t>earliest</w:t>
      </w:r>
      <w:r>
        <w:rPr>
          <w:spacing w:val="-12"/>
        </w:rPr>
        <w:t> </w:t>
      </w:r>
      <w:r>
        <w:rPr/>
        <w:t>planned</w:t>
      </w:r>
      <w:r>
        <w:rPr>
          <w:spacing w:val="-12"/>
        </w:rPr>
        <w:t> </w:t>
      </w:r>
      <w:r>
        <w:rPr/>
        <w:t>development occurred within the Potomac and Sterling communities during the 1960s signaling the beginning of</w:t>
      </w:r>
      <w:r>
        <w:rPr>
          <w:spacing w:val="-9"/>
        </w:rPr>
        <w:t> </w:t>
      </w:r>
      <w:r>
        <w:rPr/>
        <w:t>the</w:t>
      </w:r>
      <w:r>
        <w:rPr>
          <w:spacing w:val="-9"/>
        </w:rPr>
        <w:t> </w:t>
      </w:r>
      <w:r>
        <w:rPr/>
        <w:t>transformation</w:t>
      </w:r>
      <w:r>
        <w:rPr>
          <w:spacing w:val="-9"/>
        </w:rPr>
        <w:t> </w:t>
      </w:r>
      <w:r>
        <w:rPr/>
        <w:t>of</w:t>
      </w:r>
      <w:r>
        <w:rPr>
          <w:spacing w:val="-9"/>
        </w:rPr>
        <w:t> </w:t>
      </w:r>
      <w:r>
        <w:rPr/>
        <w:t>eastern</w:t>
      </w:r>
      <w:r>
        <w:rPr>
          <w:spacing w:val="-6"/>
        </w:rPr>
        <w:t> </w:t>
      </w:r>
      <w:r>
        <w:rPr/>
        <w:t>Loudoun</w:t>
      </w:r>
      <w:r>
        <w:rPr>
          <w:spacing w:val="-9"/>
        </w:rPr>
        <w:t> </w:t>
      </w:r>
      <w:r>
        <w:rPr/>
        <w:t>County</w:t>
      </w:r>
      <w:r>
        <w:rPr>
          <w:spacing w:val="-13"/>
        </w:rPr>
        <w:t> </w:t>
      </w:r>
      <w:r>
        <w:rPr/>
        <w:t>from</w:t>
      </w:r>
      <w:r>
        <w:rPr>
          <w:spacing w:val="-9"/>
        </w:rPr>
        <w:t> </w:t>
      </w:r>
      <w:r>
        <w:rPr/>
        <w:t>farmland</w:t>
      </w:r>
      <w:r>
        <w:rPr>
          <w:spacing w:val="-9"/>
        </w:rPr>
        <w:t> </w:t>
      </w:r>
      <w:r>
        <w:rPr/>
        <w:t>with</w:t>
      </w:r>
      <w:r>
        <w:rPr>
          <w:spacing w:val="-8"/>
        </w:rPr>
        <w:t> </w:t>
      </w:r>
      <w:r>
        <w:rPr/>
        <w:t>a</w:t>
      </w:r>
      <w:r>
        <w:rPr>
          <w:spacing w:val="-10"/>
        </w:rPr>
        <w:t> </w:t>
      </w:r>
      <w:r>
        <w:rPr/>
        <w:t>centuries</w:t>
      </w:r>
      <w:r>
        <w:rPr>
          <w:spacing w:val="-8"/>
        </w:rPr>
        <w:t> </w:t>
      </w:r>
      <w:r>
        <w:rPr/>
        <w:t>old</w:t>
      </w:r>
      <w:r>
        <w:rPr>
          <w:spacing w:val="-8"/>
        </w:rPr>
        <w:t> </w:t>
      </w:r>
      <w:r>
        <w:rPr/>
        <w:t>rural</w:t>
      </w:r>
      <w:r>
        <w:rPr>
          <w:spacing w:val="-8"/>
        </w:rPr>
        <w:t> </w:t>
      </w:r>
      <w:r>
        <w:rPr/>
        <w:t>heritage to the suburban area that it is</w:t>
      </w:r>
      <w:r>
        <w:rPr>
          <w:spacing w:val="-1"/>
        </w:rPr>
        <w:t> </w:t>
      </w:r>
      <w:r>
        <w:rPr/>
        <w:t>today.</w:t>
      </w:r>
    </w:p>
    <w:p>
      <w:pPr>
        <w:pStyle w:val="BodyText"/>
        <w:spacing w:line="259" w:lineRule="auto" w:before="159"/>
        <w:ind w:left="1440" w:right="1442"/>
        <w:jc w:val="both"/>
      </w:pPr>
      <w:r>
        <w:rPr/>
        <w:t>The SPA is designated as one of the growth areas of the County and has accommodated most of the residential and commercial development over the past decades due to the presence of central water and sewer utilities and an expanded road</w:t>
      </w:r>
    </w:p>
    <w:p>
      <w:pPr>
        <w:pStyle w:val="BodyText"/>
        <w:spacing w:line="259" w:lineRule="auto"/>
        <w:ind w:left="1440" w:right="6131"/>
        <w:jc w:val="both"/>
      </w:pPr>
      <w:r>
        <w:rPr/>
        <w:t>network. Two major events helped to open the SPA to residential development: 1) the construction of Washington Dulles International Airport, and 2) the construction of a major</w:t>
      </w:r>
      <w:r>
        <w:rPr>
          <w:spacing w:val="-42"/>
        </w:rPr>
        <w:t> </w:t>
      </w:r>
      <w:r>
        <w:rPr/>
        <w:t>sewer line that accommodated the airport and improvements to Route 7 and Route</w:t>
      </w:r>
      <w:r>
        <w:rPr>
          <w:spacing w:val="-2"/>
        </w:rPr>
        <w:t> </w:t>
      </w:r>
      <w:r>
        <w:rPr/>
        <w:t>28.</w:t>
      </w:r>
    </w:p>
    <w:p>
      <w:pPr>
        <w:pStyle w:val="BodyText"/>
        <w:spacing w:line="259" w:lineRule="auto" w:before="157"/>
        <w:ind w:left="1440" w:right="6131"/>
        <w:jc w:val="both"/>
      </w:pPr>
      <w:r>
        <w:rPr/>
        <w:t>Route 7 and Route 28 have evolved into critical transportation corridors that are contributing to Loudoun County’s reputation as an international center for technology, communications, and</w:t>
      </w:r>
    </w:p>
    <w:p>
      <w:pPr>
        <w:pStyle w:val="BodyText"/>
        <w:spacing w:line="259" w:lineRule="auto" w:before="1"/>
        <w:ind w:left="1440" w:right="1438"/>
        <w:jc w:val="both"/>
      </w:pPr>
      <w:r>
        <w:rPr/>
        <w:t>global data management sectors. Given its connection to the Washington Dulles International Airport, Route 28 continues to play a major economic role for Loudoun County as a key location for on-going development. The County is committed to the continuing growth of and need for an economically vibrant Route 28 corridor, and the </w:t>
      </w:r>
      <w:r>
        <w:rPr>
          <w:i/>
          <w:color w:val="006FC0"/>
          <w:u w:val="single" w:color="006FC0"/>
        </w:rPr>
        <w:t>Route 28 Highway Transportation Improvement</w:t>
      </w:r>
      <w:r>
        <w:rPr>
          <w:i/>
          <w:color w:val="006FC0"/>
        </w:rPr>
        <w:t> </w:t>
      </w:r>
      <w:r>
        <w:rPr>
          <w:i/>
          <w:color w:val="006FC0"/>
          <w:u w:val="single" w:color="006FC0"/>
        </w:rPr>
        <w:t>District</w:t>
      </w:r>
      <w:r>
        <w:rPr/>
        <w:t>, aids in accomplishing this goal by levying additional tax assesments on commercial and industrial properties to finance transportation improvements to Route 28. Additionally, the SPA surrounds the Urban Policy Area near the Silver Line Metro Stations that will include new dense, urban, transit-oriented types of development.</w:t>
      </w:r>
    </w:p>
    <w:p>
      <w:pPr>
        <w:spacing w:after="0" w:line="259" w:lineRule="auto"/>
        <w:jc w:val="both"/>
        <w:sectPr>
          <w:headerReference w:type="default" r:id="rId5"/>
          <w:footerReference w:type="default" r:id="rId6"/>
          <w:type w:val="continuous"/>
          <w:pgSz w:w="12240" w:h="15840"/>
          <w:pgMar w:header="719" w:footer="443" w:top="920" w:bottom="640" w:left="0" w:right="0"/>
          <w:pgNumType w:start="33"/>
        </w:sectPr>
      </w:pPr>
    </w:p>
    <w:p>
      <w:pPr>
        <w:pStyle w:val="BodyText"/>
        <w:rPr>
          <w:sz w:val="20"/>
        </w:rPr>
      </w:pPr>
    </w:p>
    <w:p>
      <w:pPr>
        <w:pStyle w:val="Heading3"/>
        <w:spacing w:before="238"/>
      </w:pPr>
      <w:r>
        <w:rPr>
          <w:color w:val="396230"/>
        </w:rPr>
        <w:t>Land Use</w:t>
      </w:r>
    </w:p>
    <w:p>
      <w:pPr>
        <w:pStyle w:val="BodyText"/>
        <w:spacing w:line="259" w:lineRule="auto" w:before="55"/>
        <w:ind w:left="1440" w:right="1438"/>
        <w:jc w:val="both"/>
      </w:pPr>
      <w:r>
        <w:rPr/>
        <w:t>The SPA consists of a mix of commercial areas and neighborhoods that provide a broad range of quality environments. The commercial areas of the SPA are focused areas for employment uses within a variety of commercial and workplace environments, including traditional office and industrial parks, mixed use centers, and neighborhood-serving commercial centers.</w:t>
      </w:r>
    </w:p>
    <w:p>
      <w:pPr>
        <w:pStyle w:val="BodyText"/>
        <w:spacing w:line="259" w:lineRule="auto" w:before="159"/>
        <w:ind w:left="1440" w:right="5526"/>
        <w:jc w:val="both"/>
      </w:pPr>
      <w:r>
        <w:rPr/>
        <w:pict>
          <v:group style="position:absolute;margin-left:90.066002pt;margin-top:18.623106pt;width:444.15pt;height:438pt;mso-position-horizontal-relative:page;mso-position-vertical-relative:paragraph;z-index:-33304" coordorigin="1801,372" coordsize="8883,8760">
            <v:shape style="position:absolute;left:1801;top:752;width:7906;height:8380" coordorigin="1801,753" coordsize="7906,8380" path="m4498,8017l4492,7943,4477,7865,4455,7782,4432,7713,4402,7641,4367,7566,4325,7488,4276,7407,4236,7348,4200,7298,4200,7983,4197,8040,4185,8096,4167,8154,4138,8214,4097,8276,4044,8342,3979,8412,3674,8717,2216,7259,2517,6959,2598,6883,2672,6823,2740,6779,2801,6753,2868,6738,2941,6734,3020,6741,3105,6759,3195,6788,3255,6814,3317,6846,3380,6884,3446,6929,3514,6981,3584,7039,3656,7104,3729,7175,3789,7237,3844,7297,3896,7356,3943,7414,3986,7470,4024,7526,4059,7579,4101,7654,4136,7726,4163,7796,4183,7863,4196,7927,4200,7983,4200,7298,4194,7289,4148,7229,4098,7168,4045,7107,3989,7046,3929,6984,3865,6922,3801,6863,3737,6808,3673,6757,3643,6734,3609,6709,3546,6664,3482,6623,3419,6585,3346,6548,3274,6515,3203,6488,3132,6466,3062,6449,2992,6437,2923,6430,2850,6428,2779,6435,2709,6450,2642,6473,2577,6503,2528,6531,2476,6568,2420,6614,2359,6668,2294,6731,1801,7224,3710,9132,4124,8717,4226,8615,4287,8550,4341,8485,4386,8419,4424,8352,4454,8286,4476,8220,4491,8153,4498,8085,4498,8017m6418,6423l6056,6296,5650,6153,5561,6124,5475,6100,5393,6081,5364,6075,5314,6066,5239,6056,5193,6055,5143,6058,5089,6065,5030,6075,5074,6006,5109,5936,5136,5867,5154,5798,5164,5730,5165,5662,5157,5594,5139,5516,5111,5440,5075,5365,5030,5292,4976,5222,4956,5199,4913,5153,4872,5115,4872,5672,4868,5728,4854,5783,4830,5839,4794,5898,4747,5959,4687,6022,4413,6296,4280,6429,3649,5798,4102,5345,4166,5288,4229,5245,4293,5215,4358,5200,4422,5199,4501,5214,4577,5244,4649,5289,4718,5348,4761,5396,4797,5447,4827,5500,4851,5557,4867,5615,4872,5672,4872,5115,4849,5093,4782,5041,4713,4996,4641,4957,4566,4925,4474,4897,4386,4884,4303,4886,4225,4902,4163,4927,4098,4963,4030,5011,3958,5071,3883,5142,3248,5777,5157,7685,5346,7495,4499,6648,4718,6429,4753,6395,4783,6367,4810,6346,4833,6332,4863,6318,4896,6308,4932,6300,4971,6296,5014,6296,5066,6301,5125,6311,5194,6328,5256,6345,5328,6366,5407,6391,5496,6420,6180,6661,6418,6423m7780,5061l7415,4866,6555,4412,6555,4719,6070,5204,5989,5061,5748,4630,5708,4559,5668,4487,5629,4422,5590,4357,5550,4293,5509,4230,5467,4168,5424,4106,5380,4046,5436,4081,5498,4119,5564,4159,5635,4201,5792,4292,6555,4719,6555,4412,5862,4046,5286,3739,5082,3943,5277,4293,5316,4364,5701,5061,6168,5910,6441,6401,6642,6200,6565,6066,6298,5598,6221,5464,6481,5204,6820,4866,7565,5277,7780,5061m8131,4711l7264,3844,7489,3618,7936,3172,7711,2947,7039,3618,6448,3028,7224,2251,6999,2026,6033,2992,7941,4900,8131,4711m9707,3135l8213,1641,8024,1452,8497,978,8272,753,7138,1887,7363,2113,7834,1641,9517,3324,9707,3135e" filled="true" fillcolor="#c0c0c0" stroked="false">
              <v:path arrowok="t"/>
              <v:fill opacity="32896f" type="solid"/>
            </v:shape>
            <v:shape style="position:absolute;left:6890;top:372;width:3794;height:4606" type="#_x0000_t75" stroked="false">
              <v:imagedata r:id="rId8" o:title=""/>
            </v:shape>
            <v:shape style="position:absolute;left:6890;top:4974;width:3794;height:384" type="#_x0000_t75" stroked="false">
              <v:imagedata r:id="rId9" o:title=""/>
            </v:shape>
            <w10:wrap type="none"/>
          </v:group>
        </w:pict>
      </w:r>
      <w:r>
        <w:rPr/>
        <w:t>Residential neighborhoods in the eastern corner of the County were built between 1960 and 1990, while neighborhoods built in the western area of the SPA were built in the early 1990s or later. The older neighborhoods commonly reflect the housing styles and neighborhood designs that were prominent in the era they were developed and provide a more limited mix of housing types (primarily single-family) while relying on neighborhood commercial developments located on major roads like Route 7 for easy access to amenities. The master planned developments west of Route 28 include a variety of housing types organized around neighborhood centers designed as the focal point of the community and provide easy access to daily needs. Parks, greenways, and open space frame developments and link neighborhood residents</w:t>
      </w:r>
      <w:r>
        <w:rPr>
          <w:spacing w:val="55"/>
        </w:rPr>
        <w:t> </w:t>
      </w:r>
      <w:r>
        <w:rPr/>
        <w:t>to</w:t>
      </w:r>
    </w:p>
    <w:p>
      <w:pPr>
        <w:spacing w:after="0" w:line="259" w:lineRule="auto"/>
        <w:jc w:val="both"/>
        <w:sectPr>
          <w:pgSz w:w="12240" w:h="15840"/>
          <w:pgMar w:header="719" w:footer="443" w:top="920" w:bottom="740" w:left="0" w:right="0"/>
        </w:sectPr>
      </w:pPr>
    </w:p>
    <w:p>
      <w:pPr>
        <w:pStyle w:val="BodyText"/>
        <w:spacing w:line="256" w:lineRule="auto"/>
        <w:ind w:left="1440"/>
      </w:pPr>
      <w:r>
        <w:rPr/>
        <w:t>nature, neighborhood destinations, and beyond in both the western and eastern neighborhoods.</w:t>
      </w:r>
    </w:p>
    <w:p>
      <w:pPr>
        <w:pStyle w:val="Heading3"/>
        <w:spacing w:before="135"/>
      </w:pPr>
      <w:r>
        <w:rPr>
          <w:color w:val="396230"/>
        </w:rPr>
        <w:t>Influences</w:t>
      </w:r>
      <w:r>
        <w:rPr>
          <w:color w:val="396230"/>
          <w:spacing w:val="-51"/>
        </w:rPr>
        <w:t> </w:t>
      </w:r>
      <w:r>
        <w:rPr>
          <w:color w:val="396230"/>
        </w:rPr>
        <w:t>and</w:t>
      </w:r>
      <w:r>
        <w:rPr>
          <w:color w:val="396230"/>
          <w:spacing w:val="-51"/>
        </w:rPr>
        <w:t> </w:t>
      </w:r>
      <w:r>
        <w:rPr>
          <w:color w:val="396230"/>
        </w:rPr>
        <w:t>Opportunities</w:t>
      </w:r>
    </w:p>
    <w:p>
      <w:pPr>
        <w:spacing w:before="120"/>
        <w:ind w:left="951" w:right="0" w:firstLine="0"/>
        <w:jc w:val="left"/>
        <w:rPr>
          <w:i/>
          <w:sz w:val="22"/>
        </w:rPr>
      </w:pPr>
      <w:r>
        <w:rPr/>
        <w:br w:type="column"/>
      </w:r>
      <w:r>
        <w:rPr>
          <w:i/>
          <w:sz w:val="22"/>
        </w:rPr>
        <w:t>Suburban Neighborhood</w:t>
      </w:r>
    </w:p>
    <w:p>
      <w:pPr>
        <w:spacing w:after="0"/>
        <w:jc w:val="left"/>
        <w:rPr>
          <w:sz w:val="22"/>
        </w:rPr>
        <w:sectPr>
          <w:type w:val="continuous"/>
          <w:pgSz w:w="12240" w:h="15840"/>
          <w:pgMar w:top="920" w:bottom="640" w:left="0" w:right="0"/>
          <w:cols w:num="2" w:equalWidth="0">
            <w:col w:w="6708" w:space="40"/>
            <w:col w:w="5492"/>
          </w:cols>
        </w:sectPr>
      </w:pPr>
    </w:p>
    <w:p>
      <w:pPr>
        <w:pStyle w:val="BodyText"/>
        <w:spacing w:line="259" w:lineRule="auto" w:before="55"/>
        <w:ind w:left="1440" w:right="1433"/>
        <w:jc w:val="both"/>
      </w:pPr>
      <w:r>
        <w:rPr/>
        <w:t>The County will focus efforts on fostering and maintaining community identity within the SPA and its communities. The SPA is not and should not be one homogenous area. Many existing neighborhoods in Eastern Loudoun are becoming increasingly diverse, bringing a new set of expectations and attitudes to these communities. As new development continues in this area, the roads are becoming increasingly congested, and the lack of transit access and safe pedestrian connections is a mounting concern. Continuing the County’s goal to create communities with unique</w:t>
      </w:r>
      <w:r>
        <w:rPr>
          <w:spacing w:val="-12"/>
        </w:rPr>
        <w:t> </w:t>
      </w:r>
      <w:r>
        <w:rPr/>
        <w:t>community</w:t>
      </w:r>
      <w:r>
        <w:rPr>
          <w:spacing w:val="-18"/>
        </w:rPr>
        <w:t> </w:t>
      </w:r>
      <w:r>
        <w:rPr/>
        <w:t>visions</w:t>
      </w:r>
      <w:r>
        <w:rPr>
          <w:spacing w:val="-11"/>
        </w:rPr>
        <w:t> </w:t>
      </w:r>
      <w:r>
        <w:rPr/>
        <w:t>would</w:t>
      </w:r>
      <w:r>
        <w:rPr>
          <w:spacing w:val="-11"/>
        </w:rPr>
        <w:t> </w:t>
      </w:r>
      <w:r>
        <w:rPr/>
        <w:t>help</w:t>
      </w:r>
      <w:r>
        <w:rPr>
          <w:spacing w:val="-11"/>
        </w:rPr>
        <w:t> </w:t>
      </w:r>
      <w:r>
        <w:rPr/>
        <w:t>identify</w:t>
      </w:r>
      <w:r>
        <w:rPr>
          <w:spacing w:val="-18"/>
        </w:rPr>
        <w:t> </w:t>
      </w:r>
      <w:r>
        <w:rPr/>
        <w:t>and</w:t>
      </w:r>
      <w:r>
        <w:rPr>
          <w:spacing w:val="-11"/>
        </w:rPr>
        <w:t> </w:t>
      </w:r>
      <w:r>
        <w:rPr/>
        <w:t>strengthen</w:t>
      </w:r>
      <w:r>
        <w:rPr>
          <w:spacing w:val="-11"/>
        </w:rPr>
        <w:t> </w:t>
      </w:r>
      <w:r>
        <w:rPr/>
        <w:t>the</w:t>
      </w:r>
      <w:r>
        <w:rPr>
          <w:spacing w:val="-12"/>
        </w:rPr>
        <w:t> </w:t>
      </w:r>
      <w:r>
        <w:rPr/>
        <w:t>creation</w:t>
      </w:r>
      <w:r>
        <w:rPr>
          <w:spacing w:val="-11"/>
        </w:rPr>
        <w:t> </w:t>
      </w:r>
      <w:r>
        <w:rPr/>
        <w:t>of</w:t>
      </w:r>
      <w:r>
        <w:rPr>
          <w:spacing w:val="-10"/>
        </w:rPr>
        <w:t> </w:t>
      </w:r>
      <w:r>
        <w:rPr/>
        <w:t>distinct</w:t>
      </w:r>
      <w:r>
        <w:rPr>
          <w:spacing w:val="-11"/>
        </w:rPr>
        <w:t> </w:t>
      </w:r>
      <w:r>
        <w:rPr/>
        <w:t>places</w:t>
      </w:r>
      <w:r>
        <w:rPr>
          <w:spacing w:val="-11"/>
        </w:rPr>
        <w:t> </w:t>
      </w:r>
      <w:r>
        <w:rPr/>
        <w:t>within the SPA, ensure that they are well designed and serviced, and that they provide diverse and stimulating social, cultural, recreational, and livable environments for their residents. Policies below</w:t>
      </w:r>
      <w:r>
        <w:rPr>
          <w:spacing w:val="-14"/>
        </w:rPr>
        <w:t> </w:t>
      </w:r>
      <w:r>
        <w:rPr/>
        <w:t>address</w:t>
      </w:r>
      <w:r>
        <w:rPr>
          <w:spacing w:val="-14"/>
        </w:rPr>
        <w:t> </w:t>
      </w:r>
      <w:r>
        <w:rPr/>
        <w:t>ways</w:t>
      </w:r>
      <w:r>
        <w:rPr>
          <w:spacing w:val="-14"/>
        </w:rPr>
        <w:t> </w:t>
      </w:r>
      <w:r>
        <w:rPr/>
        <w:t>to</w:t>
      </w:r>
      <w:r>
        <w:rPr>
          <w:spacing w:val="-14"/>
        </w:rPr>
        <w:t> </w:t>
      </w:r>
      <w:r>
        <w:rPr/>
        <w:t>improve</w:t>
      </w:r>
      <w:r>
        <w:rPr>
          <w:spacing w:val="-16"/>
        </w:rPr>
        <w:t> </w:t>
      </w:r>
      <w:r>
        <w:rPr/>
        <w:t>livability</w:t>
      </w:r>
      <w:r>
        <w:rPr>
          <w:spacing w:val="-21"/>
        </w:rPr>
        <w:t> </w:t>
      </w:r>
      <w:r>
        <w:rPr/>
        <w:t>through:</w:t>
      </w:r>
      <w:r>
        <w:rPr>
          <w:spacing w:val="-12"/>
        </w:rPr>
        <w:t> </w:t>
      </w:r>
      <w:r>
        <w:rPr/>
        <w:t>1)</w:t>
      </w:r>
      <w:r>
        <w:rPr>
          <w:spacing w:val="-15"/>
        </w:rPr>
        <w:t> </w:t>
      </w:r>
      <w:r>
        <w:rPr/>
        <w:t>protecting</w:t>
      </w:r>
      <w:r>
        <w:rPr>
          <w:spacing w:val="-14"/>
        </w:rPr>
        <w:t> </w:t>
      </w:r>
      <w:r>
        <w:rPr/>
        <w:t>and</w:t>
      </w:r>
      <w:r>
        <w:rPr>
          <w:spacing w:val="-14"/>
        </w:rPr>
        <w:t> </w:t>
      </w:r>
      <w:r>
        <w:rPr/>
        <w:t>enhancing</w:t>
      </w:r>
      <w:r>
        <w:rPr>
          <w:spacing w:val="-16"/>
        </w:rPr>
        <w:t> </w:t>
      </w:r>
      <w:r>
        <w:rPr/>
        <w:t>elements</w:t>
      </w:r>
      <w:r>
        <w:rPr>
          <w:spacing w:val="-14"/>
        </w:rPr>
        <w:t> </w:t>
      </w:r>
      <w:r>
        <w:rPr/>
        <w:t>of</w:t>
      </w:r>
      <w:r>
        <w:rPr>
          <w:spacing w:val="-15"/>
        </w:rPr>
        <w:t> </w:t>
      </w:r>
      <w:r>
        <w:rPr/>
        <w:t>Natural and</w:t>
      </w:r>
      <w:r>
        <w:rPr>
          <w:spacing w:val="-7"/>
        </w:rPr>
        <w:t> </w:t>
      </w:r>
      <w:r>
        <w:rPr/>
        <w:t>Heritage</w:t>
      </w:r>
      <w:r>
        <w:rPr>
          <w:spacing w:val="-8"/>
        </w:rPr>
        <w:t> </w:t>
      </w:r>
      <w:r>
        <w:rPr/>
        <w:t>Resources,</w:t>
      </w:r>
      <w:r>
        <w:rPr>
          <w:spacing w:val="-7"/>
        </w:rPr>
        <w:t> </w:t>
      </w:r>
      <w:r>
        <w:rPr/>
        <w:t>including</w:t>
      </w:r>
      <w:r>
        <w:rPr>
          <w:spacing w:val="-9"/>
        </w:rPr>
        <w:t> </w:t>
      </w:r>
      <w:r>
        <w:rPr/>
        <w:t>open</w:t>
      </w:r>
      <w:r>
        <w:rPr>
          <w:spacing w:val="-7"/>
        </w:rPr>
        <w:t> </w:t>
      </w:r>
      <w:r>
        <w:rPr/>
        <w:t>space</w:t>
      </w:r>
      <w:r>
        <w:rPr>
          <w:spacing w:val="-8"/>
        </w:rPr>
        <w:t> </w:t>
      </w:r>
      <w:r>
        <w:rPr/>
        <w:t>and</w:t>
      </w:r>
      <w:r>
        <w:rPr>
          <w:spacing w:val="-7"/>
        </w:rPr>
        <w:t> </w:t>
      </w:r>
      <w:r>
        <w:rPr/>
        <w:t>pedestrian</w:t>
      </w:r>
      <w:r>
        <w:rPr>
          <w:spacing w:val="-8"/>
        </w:rPr>
        <w:t> </w:t>
      </w:r>
      <w:r>
        <w:rPr/>
        <w:t>connections;</w:t>
      </w:r>
      <w:r>
        <w:rPr>
          <w:spacing w:val="-7"/>
        </w:rPr>
        <w:t> </w:t>
      </w:r>
      <w:r>
        <w:rPr/>
        <w:t>2)</w:t>
      </w:r>
      <w:r>
        <w:rPr>
          <w:spacing w:val="-8"/>
        </w:rPr>
        <w:t> </w:t>
      </w:r>
      <w:r>
        <w:rPr/>
        <w:t>ensuring</w:t>
      </w:r>
      <w:r>
        <w:rPr>
          <w:spacing w:val="-10"/>
        </w:rPr>
        <w:t> </w:t>
      </w:r>
      <w:r>
        <w:rPr/>
        <w:t>compatible and complementary infill development; and 3) revitalizing existing neighborhoods in a way that protects</w:t>
      </w:r>
      <w:r>
        <w:rPr>
          <w:spacing w:val="-5"/>
        </w:rPr>
        <w:t> </w:t>
      </w:r>
      <w:r>
        <w:rPr/>
        <w:t>and</w:t>
      </w:r>
      <w:r>
        <w:rPr>
          <w:spacing w:val="-3"/>
        </w:rPr>
        <w:t> </w:t>
      </w:r>
      <w:r>
        <w:rPr/>
        <w:t>enhances</w:t>
      </w:r>
      <w:r>
        <w:rPr>
          <w:spacing w:val="-3"/>
        </w:rPr>
        <w:t> </w:t>
      </w:r>
      <w:r>
        <w:rPr/>
        <w:t>our</w:t>
      </w:r>
      <w:r>
        <w:rPr>
          <w:spacing w:val="-6"/>
        </w:rPr>
        <w:t> </w:t>
      </w:r>
      <w:r>
        <w:rPr/>
        <w:t>existing</w:t>
      </w:r>
      <w:r>
        <w:rPr>
          <w:spacing w:val="-7"/>
        </w:rPr>
        <w:t> </w:t>
      </w:r>
      <w:r>
        <w:rPr/>
        <w:t>communities.</w:t>
      </w:r>
      <w:r>
        <w:rPr>
          <w:spacing w:val="-5"/>
        </w:rPr>
        <w:t> </w:t>
      </w:r>
      <w:r>
        <w:rPr/>
        <w:t>The</w:t>
      </w:r>
      <w:r>
        <w:rPr>
          <w:spacing w:val="-6"/>
        </w:rPr>
        <w:t> </w:t>
      </w:r>
      <w:r>
        <w:rPr/>
        <w:t>concept</w:t>
      </w:r>
      <w:r>
        <w:rPr>
          <w:spacing w:val="-5"/>
        </w:rPr>
        <w:t> </w:t>
      </w:r>
      <w:r>
        <w:rPr/>
        <w:t>of</w:t>
      </w:r>
      <w:r>
        <w:rPr>
          <w:spacing w:val="-4"/>
        </w:rPr>
        <w:t> </w:t>
      </w:r>
      <w:r>
        <w:rPr/>
        <w:t>creating</w:t>
      </w:r>
      <w:r>
        <w:rPr>
          <w:spacing w:val="-8"/>
        </w:rPr>
        <w:t> </w:t>
      </w:r>
      <w:r>
        <w:rPr/>
        <w:t>Community</w:t>
      </w:r>
      <w:r>
        <w:rPr>
          <w:spacing w:val="-10"/>
        </w:rPr>
        <w:t> </w:t>
      </w:r>
      <w:r>
        <w:rPr/>
        <w:t>Plans</w:t>
      </w:r>
      <w:r>
        <w:rPr>
          <w:spacing w:val="-5"/>
        </w:rPr>
        <w:t> </w:t>
      </w:r>
      <w:r>
        <w:rPr/>
        <w:t>is</w:t>
      </w:r>
      <w:r>
        <w:rPr>
          <w:spacing w:val="-5"/>
        </w:rPr>
        <w:t> </w:t>
      </w:r>
      <w:r>
        <w:rPr/>
        <w:t>one that</w:t>
      </w:r>
      <w:r>
        <w:rPr>
          <w:spacing w:val="-4"/>
        </w:rPr>
        <w:t> </w:t>
      </w:r>
      <w:r>
        <w:rPr/>
        <w:t>offers</w:t>
      </w:r>
      <w:r>
        <w:rPr>
          <w:spacing w:val="-4"/>
        </w:rPr>
        <w:t> </w:t>
      </w:r>
      <w:r>
        <w:rPr/>
        <w:t>tremendous</w:t>
      </w:r>
      <w:r>
        <w:rPr>
          <w:spacing w:val="-4"/>
        </w:rPr>
        <w:t> </w:t>
      </w:r>
      <w:r>
        <w:rPr/>
        <w:t>potential</w:t>
      </w:r>
      <w:r>
        <w:rPr>
          <w:spacing w:val="-4"/>
        </w:rPr>
        <w:t> </w:t>
      </w:r>
      <w:r>
        <w:rPr/>
        <w:t>to</w:t>
      </w:r>
      <w:r>
        <w:rPr>
          <w:spacing w:val="-3"/>
        </w:rPr>
        <w:t> </w:t>
      </w:r>
      <w:r>
        <w:rPr/>
        <w:t>ensure</w:t>
      </w:r>
      <w:r>
        <w:rPr>
          <w:spacing w:val="-5"/>
        </w:rPr>
        <w:t> </w:t>
      </w:r>
      <w:r>
        <w:rPr/>
        <w:t>that</w:t>
      </w:r>
      <w:r>
        <w:rPr>
          <w:spacing w:val="-4"/>
        </w:rPr>
        <w:t> </w:t>
      </w:r>
      <w:r>
        <w:rPr/>
        <w:t>the</w:t>
      </w:r>
      <w:r>
        <w:rPr>
          <w:spacing w:val="-7"/>
        </w:rPr>
        <w:t> </w:t>
      </w:r>
      <w:r>
        <w:rPr/>
        <w:t>vision</w:t>
      </w:r>
      <w:r>
        <w:rPr>
          <w:spacing w:val="-4"/>
        </w:rPr>
        <w:t> </w:t>
      </w:r>
      <w:r>
        <w:rPr/>
        <w:t>of</w:t>
      </w:r>
      <w:r>
        <w:rPr>
          <w:spacing w:val="-5"/>
        </w:rPr>
        <w:t> </w:t>
      </w:r>
      <w:r>
        <w:rPr/>
        <w:t>the</w:t>
      </w:r>
      <w:r>
        <w:rPr>
          <w:spacing w:val="-7"/>
        </w:rPr>
        <w:t> </w:t>
      </w:r>
      <w:r>
        <w:rPr/>
        <w:t>SPA</w:t>
      </w:r>
      <w:r>
        <w:rPr>
          <w:spacing w:val="-4"/>
        </w:rPr>
        <w:t> </w:t>
      </w:r>
      <w:r>
        <w:rPr/>
        <w:t>is</w:t>
      </w:r>
      <w:r>
        <w:rPr>
          <w:spacing w:val="-4"/>
        </w:rPr>
        <w:t> </w:t>
      </w:r>
      <w:r>
        <w:rPr/>
        <w:t>fully</w:t>
      </w:r>
      <w:r>
        <w:rPr>
          <w:spacing w:val="-9"/>
        </w:rPr>
        <w:t> </w:t>
      </w:r>
      <w:r>
        <w:rPr/>
        <w:t>achieved</w:t>
      </w:r>
      <w:r>
        <w:rPr>
          <w:spacing w:val="-4"/>
        </w:rPr>
        <w:t> </w:t>
      </w:r>
      <w:r>
        <w:rPr/>
        <w:t>and</w:t>
      </w:r>
      <w:r>
        <w:rPr>
          <w:spacing w:val="-4"/>
        </w:rPr>
        <w:t> </w:t>
      </w:r>
      <w:r>
        <w:rPr/>
        <w:t>to</w:t>
      </w:r>
      <w:r>
        <w:rPr>
          <w:spacing w:val="-3"/>
        </w:rPr>
        <w:t> </w:t>
      </w:r>
      <w:r>
        <w:rPr/>
        <w:t>guide the remaining build-out of each</w:t>
      </w:r>
      <w:r>
        <w:rPr>
          <w:spacing w:val="-2"/>
        </w:rPr>
        <w:t> </w:t>
      </w:r>
      <w:r>
        <w:rPr/>
        <w:t>area.</w:t>
      </w:r>
    </w:p>
    <w:p>
      <w:pPr>
        <w:pStyle w:val="BodyText"/>
        <w:spacing w:line="259" w:lineRule="auto" w:before="159"/>
        <w:ind w:left="1440" w:right="1440"/>
        <w:jc w:val="both"/>
      </w:pPr>
      <w:r>
        <w:rPr/>
        <w:t>Rapid growth in the County, with the majority occurring in the SPA, has increased development pressure outside of the SPA. Today there is little undeveloped land remaining in the SPA as most</w:t>
      </w:r>
    </w:p>
    <w:p>
      <w:pPr>
        <w:spacing w:after="0" w:line="259" w:lineRule="auto"/>
        <w:jc w:val="both"/>
        <w:sectPr>
          <w:type w:val="continuous"/>
          <w:pgSz w:w="12240" w:h="15840"/>
          <w:pgMar w:top="920" w:bottom="640" w:left="0" w:right="0"/>
        </w:sectPr>
      </w:pPr>
    </w:p>
    <w:p>
      <w:pPr>
        <w:pStyle w:val="BodyText"/>
        <w:rPr>
          <w:sz w:val="20"/>
        </w:rPr>
      </w:pPr>
    </w:p>
    <w:p>
      <w:pPr>
        <w:pStyle w:val="BodyText"/>
        <w:rPr>
          <w:sz w:val="23"/>
        </w:rPr>
      </w:pPr>
    </w:p>
    <w:p>
      <w:pPr>
        <w:pStyle w:val="BodyText"/>
        <w:spacing w:line="259" w:lineRule="auto"/>
        <w:ind w:left="1440" w:right="1437"/>
        <w:jc w:val="both"/>
      </w:pPr>
      <w:r>
        <w:rPr/>
        <w:pict>
          <v:group style="position:absolute;margin-left:72pt;margin-top:114.793144pt;width:413.35pt;height:450.9pt;mso-position-horizontal-relative:page;mso-position-vertical-relative:paragraph;z-index:-33280" coordorigin="1440,2296" coordsize="8267,9018">
            <v:shape style="position:absolute;left:1801;top:2295;width:7906;height:8380"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v:shape>
            <v:shape style="position:absolute;left:1440;top:7414;width:5232;height:3488" type="#_x0000_t75" stroked="false">
              <v:imagedata r:id="rId10" o:title=""/>
            </v:shape>
            <v:shape style="position:absolute;left:1440;top:10905;width:5232;height:408" type="#_x0000_t75" stroked="false">
              <v:imagedata r:id="rId11" o:title=""/>
            </v:shape>
            <w10:wrap type="none"/>
          </v:group>
        </w:pict>
      </w:r>
      <w:r>
        <w:rPr/>
        <w:t>land has already been developed or is approved for development. With limited developable land in this area, the County is at a juncture in its planning efforts for greenfield development. Redevelopment and infill will soon begin to play an increasing role in development decisions within the SPA, which will mark a significant shift in the county’s planning and development activities. Because much of the SPA is currently developed, most new projects will be smaller in scope and need to be evaluated based on how they can be integrated into the surrounding community. The amount of limited land available and the added growth from redevelopment and infill</w:t>
      </w:r>
      <w:r>
        <w:rPr>
          <w:spacing w:val="-3"/>
        </w:rPr>
        <w:t> </w:t>
      </w:r>
      <w:r>
        <w:rPr/>
        <w:t>will</w:t>
      </w:r>
      <w:r>
        <w:rPr>
          <w:spacing w:val="-5"/>
        </w:rPr>
        <w:t> </w:t>
      </w:r>
      <w:r>
        <w:rPr/>
        <w:t>make</w:t>
      </w:r>
      <w:r>
        <w:rPr>
          <w:spacing w:val="-5"/>
        </w:rPr>
        <w:t> </w:t>
      </w:r>
      <w:r>
        <w:rPr/>
        <w:t>adding</w:t>
      </w:r>
      <w:r>
        <w:rPr>
          <w:spacing w:val="-6"/>
        </w:rPr>
        <w:t> </w:t>
      </w:r>
      <w:r>
        <w:rPr/>
        <w:t>public</w:t>
      </w:r>
      <w:r>
        <w:rPr>
          <w:spacing w:val="-5"/>
        </w:rPr>
        <w:t> </w:t>
      </w:r>
      <w:r>
        <w:rPr/>
        <w:t>facilities</w:t>
      </w:r>
      <w:r>
        <w:rPr>
          <w:spacing w:val="-4"/>
        </w:rPr>
        <w:t> </w:t>
      </w:r>
      <w:r>
        <w:rPr/>
        <w:t>to</w:t>
      </w:r>
      <w:r>
        <w:rPr>
          <w:spacing w:val="-3"/>
        </w:rPr>
        <w:t> </w:t>
      </w:r>
      <w:r>
        <w:rPr/>
        <w:t>the</w:t>
      </w:r>
      <w:r>
        <w:rPr>
          <w:spacing w:val="-7"/>
        </w:rPr>
        <w:t> </w:t>
      </w:r>
      <w:r>
        <w:rPr/>
        <w:t>SPA</w:t>
      </w:r>
      <w:r>
        <w:rPr>
          <w:spacing w:val="-7"/>
        </w:rPr>
        <w:t> </w:t>
      </w:r>
      <w:r>
        <w:rPr/>
        <w:t>a</w:t>
      </w:r>
      <w:r>
        <w:rPr>
          <w:spacing w:val="-5"/>
        </w:rPr>
        <w:t> </w:t>
      </w:r>
      <w:r>
        <w:rPr/>
        <w:t>challenge.</w:t>
      </w:r>
      <w:r>
        <w:rPr>
          <w:spacing w:val="-4"/>
        </w:rPr>
        <w:t> </w:t>
      </w:r>
      <w:r>
        <w:rPr/>
        <w:t>Public</w:t>
      </w:r>
      <w:r>
        <w:rPr>
          <w:spacing w:val="-5"/>
        </w:rPr>
        <w:t> </w:t>
      </w:r>
      <w:r>
        <w:rPr/>
        <w:t>facility</w:t>
      </w:r>
      <w:r>
        <w:rPr>
          <w:spacing w:val="-11"/>
        </w:rPr>
        <w:t> </w:t>
      </w:r>
      <w:r>
        <w:rPr/>
        <w:t>standards</w:t>
      </w:r>
      <w:r>
        <w:rPr>
          <w:spacing w:val="-4"/>
        </w:rPr>
        <w:t> </w:t>
      </w:r>
      <w:r>
        <w:rPr/>
        <w:t>may</w:t>
      </w:r>
      <w:r>
        <w:rPr>
          <w:spacing w:val="-11"/>
        </w:rPr>
        <w:t> </w:t>
      </w:r>
      <w:r>
        <w:rPr/>
        <w:t>need to change to continue to adequately address the needs of the population. As the primary location for suburban-scale residential and nonresidential development, the manner of growth and redevelopment in the SPA is of vital</w:t>
      </w:r>
      <w:r>
        <w:rPr>
          <w:spacing w:val="-1"/>
        </w:rPr>
        <w:t> </w:t>
      </w:r>
      <w:r>
        <w:rPr/>
        <w:t>importance.</w:t>
      </w:r>
    </w:p>
    <w:p>
      <w:pPr>
        <w:pStyle w:val="Heading3"/>
        <w:spacing w:before="133"/>
      </w:pPr>
      <w:r>
        <w:rPr>
          <w:color w:val="396230"/>
        </w:rPr>
        <w:t>Growth and Demand</w:t>
      </w:r>
    </w:p>
    <w:p>
      <w:pPr>
        <w:pStyle w:val="BodyText"/>
        <w:spacing w:line="259" w:lineRule="auto" w:before="55"/>
        <w:ind w:left="1440" w:right="1435"/>
        <w:jc w:val="both"/>
      </w:pPr>
      <w:r>
        <w:rPr/>
        <w:t>The demographic, market and land use trends of the past decades have led to greater demand for mixed-use and urban environments. </w:t>
      </w:r>
      <w:r>
        <w:rPr>
          <w:color w:val="221F1F"/>
        </w:rPr>
        <w:t>National trends show that changes in typical households</w:t>
      </w:r>
      <w:r>
        <w:rPr>
          <w:color w:val="221F1F"/>
          <w:spacing w:val="-22"/>
        </w:rPr>
        <w:t> </w:t>
      </w:r>
      <w:r>
        <w:rPr>
          <w:color w:val="221F1F"/>
        </w:rPr>
        <w:t>(for example</w:t>
      </w:r>
      <w:r>
        <w:rPr>
          <w:color w:val="221F1F"/>
          <w:spacing w:val="-10"/>
        </w:rPr>
        <w:t> </w:t>
      </w:r>
      <w:r>
        <w:rPr>
          <w:color w:val="221F1F"/>
        </w:rPr>
        <w:t>millennials,</w:t>
      </w:r>
      <w:r>
        <w:rPr>
          <w:color w:val="221F1F"/>
          <w:spacing w:val="-8"/>
        </w:rPr>
        <w:t> </w:t>
      </w:r>
      <w:r>
        <w:rPr>
          <w:color w:val="221F1F"/>
        </w:rPr>
        <w:t>seniors,</w:t>
      </w:r>
      <w:r>
        <w:rPr>
          <w:color w:val="221F1F"/>
          <w:spacing w:val="-9"/>
        </w:rPr>
        <w:t> </w:t>
      </w:r>
      <w:r>
        <w:rPr>
          <w:color w:val="221F1F"/>
        </w:rPr>
        <w:t>empty</w:t>
      </w:r>
      <w:r>
        <w:rPr>
          <w:color w:val="221F1F"/>
          <w:spacing w:val="-13"/>
        </w:rPr>
        <w:t> </w:t>
      </w:r>
      <w:r>
        <w:rPr>
          <w:color w:val="221F1F"/>
        </w:rPr>
        <w:t>nesters)</w:t>
      </w:r>
      <w:r>
        <w:rPr>
          <w:color w:val="221F1F"/>
          <w:spacing w:val="-10"/>
        </w:rPr>
        <w:t> </w:t>
      </w:r>
      <w:r>
        <w:rPr>
          <w:color w:val="221F1F"/>
        </w:rPr>
        <w:t>may</w:t>
      </w:r>
      <w:r>
        <w:rPr>
          <w:color w:val="221F1F"/>
          <w:spacing w:val="-13"/>
        </w:rPr>
        <w:t> </w:t>
      </w:r>
      <w:r>
        <w:rPr>
          <w:color w:val="221F1F"/>
        </w:rPr>
        <w:t>demand</w:t>
      </w:r>
      <w:r>
        <w:rPr>
          <w:color w:val="221F1F"/>
          <w:spacing w:val="-9"/>
        </w:rPr>
        <w:t> </w:t>
      </w:r>
      <w:r>
        <w:rPr>
          <w:color w:val="221F1F"/>
        </w:rPr>
        <w:t>different</w:t>
      </w:r>
      <w:r>
        <w:rPr>
          <w:color w:val="221F1F"/>
          <w:spacing w:val="-8"/>
        </w:rPr>
        <w:t> </w:t>
      </w:r>
      <w:r>
        <w:rPr>
          <w:color w:val="221F1F"/>
        </w:rPr>
        <w:t>housing</w:t>
      </w:r>
      <w:r>
        <w:rPr>
          <w:color w:val="221F1F"/>
          <w:spacing w:val="-11"/>
        </w:rPr>
        <w:t> </w:t>
      </w:r>
      <w:r>
        <w:rPr>
          <w:color w:val="221F1F"/>
        </w:rPr>
        <w:t>types,</w:t>
      </w:r>
      <w:r>
        <w:rPr>
          <w:color w:val="221F1F"/>
          <w:spacing w:val="-4"/>
        </w:rPr>
        <w:t> </w:t>
      </w:r>
      <w:r>
        <w:rPr>
          <w:color w:val="221F1F"/>
        </w:rPr>
        <w:t>public</w:t>
      </w:r>
      <w:r>
        <w:rPr>
          <w:color w:val="221F1F"/>
          <w:spacing w:val="-10"/>
        </w:rPr>
        <w:t> </w:t>
      </w:r>
      <w:r>
        <w:rPr>
          <w:color w:val="221F1F"/>
        </w:rPr>
        <w:t>services, and lifestyle options than provided in the past. To attract top talent, many employers are focusing on employee satisfaction when considering locations and designs of office space. Employers in professional services, technology, and innovation sectors are shifting away from traditional suburban offices towards urban “live, work, play” environments to enhance quality of life. </w:t>
      </w:r>
      <w:r>
        <w:rPr/>
        <w:t>While the</w:t>
      </w:r>
      <w:r>
        <w:rPr>
          <w:spacing w:val="-6"/>
        </w:rPr>
        <w:t> </w:t>
      </w:r>
      <w:r>
        <w:rPr/>
        <w:t>County</w:t>
      </w:r>
      <w:r>
        <w:rPr>
          <w:spacing w:val="-10"/>
        </w:rPr>
        <w:t> </w:t>
      </w:r>
      <w:r>
        <w:rPr/>
        <w:t>previously</w:t>
      </w:r>
      <w:r>
        <w:rPr>
          <w:spacing w:val="-8"/>
        </w:rPr>
        <w:t> </w:t>
      </w:r>
      <w:r>
        <w:rPr/>
        <w:t>established</w:t>
      </w:r>
      <w:r>
        <w:rPr>
          <w:spacing w:val="-5"/>
        </w:rPr>
        <w:t> </w:t>
      </w:r>
      <w:r>
        <w:rPr/>
        <w:t>an</w:t>
      </w:r>
      <w:r>
        <w:rPr>
          <w:spacing w:val="-5"/>
        </w:rPr>
        <w:t> </w:t>
      </w:r>
      <w:r>
        <w:rPr/>
        <w:t>overall</w:t>
      </w:r>
      <w:r>
        <w:rPr>
          <w:spacing w:val="-5"/>
        </w:rPr>
        <w:t> </w:t>
      </w:r>
      <w:r>
        <w:rPr/>
        <w:t>land-development</w:t>
      </w:r>
      <w:r>
        <w:rPr>
          <w:spacing w:val="-5"/>
        </w:rPr>
        <w:t> </w:t>
      </w:r>
      <w:r>
        <w:rPr/>
        <w:t>strategy</w:t>
      </w:r>
      <w:r>
        <w:rPr>
          <w:spacing w:val="-10"/>
        </w:rPr>
        <w:t> </w:t>
      </w:r>
      <w:r>
        <w:rPr/>
        <w:t>that</w:t>
      </w:r>
      <w:r>
        <w:rPr>
          <w:spacing w:val="-5"/>
        </w:rPr>
        <w:t> </w:t>
      </w:r>
      <w:r>
        <w:rPr/>
        <w:t>encouraged</w:t>
      </w:r>
      <w:r>
        <w:rPr>
          <w:spacing w:val="-5"/>
        </w:rPr>
        <w:t> </w:t>
      </w:r>
      <w:r>
        <w:rPr/>
        <w:t>compact, mixed-use</w:t>
      </w:r>
      <w:r>
        <w:rPr>
          <w:spacing w:val="-5"/>
        </w:rPr>
        <w:t> </w:t>
      </w:r>
      <w:r>
        <w:rPr/>
        <w:t>development</w:t>
      </w:r>
      <w:r>
        <w:rPr>
          <w:spacing w:val="-3"/>
        </w:rPr>
        <w:t> </w:t>
      </w:r>
      <w:r>
        <w:rPr/>
        <w:t>providing</w:t>
      </w:r>
      <w:r>
        <w:rPr>
          <w:spacing w:val="-6"/>
        </w:rPr>
        <w:t> </w:t>
      </w:r>
      <w:r>
        <w:rPr/>
        <w:t>people</w:t>
      </w:r>
      <w:r>
        <w:rPr>
          <w:spacing w:val="-4"/>
        </w:rPr>
        <w:t> </w:t>
      </w:r>
      <w:r>
        <w:rPr/>
        <w:t>with</w:t>
      </w:r>
      <w:r>
        <w:rPr>
          <w:spacing w:val="-3"/>
        </w:rPr>
        <w:t> </w:t>
      </w:r>
      <w:r>
        <w:rPr/>
        <w:t>the</w:t>
      </w:r>
      <w:r>
        <w:rPr>
          <w:spacing w:val="-4"/>
        </w:rPr>
        <w:t> </w:t>
      </w:r>
      <w:r>
        <w:rPr/>
        <w:t>opportunity</w:t>
      </w:r>
      <w:r>
        <w:rPr>
          <w:spacing w:val="-9"/>
        </w:rPr>
        <w:t> </w:t>
      </w:r>
      <w:r>
        <w:rPr/>
        <w:t>to</w:t>
      </w:r>
      <w:r>
        <w:rPr>
          <w:spacing w:val="-3"/>
        </w:rPr>
        <w:t> </w:t>
      </w:r>
      <w:r>
        <w:rPr/>
        <w:t>live,</w:t>
      </w:r>
      <w:r>
        <w:rPr>
          <w:spacing w:val="-4"/>
        </w:rPr>
        <w:t> </w:t>
      </w:r>
      <w:r>
        <w:rPr/>
        <w:t>work,</w:t>
      </w:r>
      <w:r>
        <w:rPr>
          <w:spacing w:val="-4"/>
        </w:rPr>
        <w:t> </w:t>
      </w:r>
      <w:r>
        <w:rPr/>
        <w:t>recreate,</w:t>
      </w:r>
      <w:r>
        <w:rPr>
          <w:spacing w:val="-4"/>
        </w:rPr>
        <w:t> </w:t>
      </w:r>
      <w:r>
        <w:rPr/>
        <w:t>and</w:t>
      </w:r>
      <w:r>
        <w:rPr>
          <w:spacing w:val="-4"/>
        </w:rPr>
        <w:t> </w:t>
      </w:r>
      <w:r>
        <w:rPr/>
        <w:t>shop</w:t>
      </w:r>
      <w:r>
        <w:rPr>
          <w:spacing w:val="-4"/>
        </w:rPr>
        <w:t> </w:t>
      </w:r>
      <w:r>
        <w:rPr/>
        <w:t>in a pedestrian-friendly environment, the development that has occurred in Loudoun has largely remained single-use and automobile-oriented.</w:t>
      </w:r>
    </w:p>
    <w:p>
      <w:pPr>
        <w:spacing w:after="0" w:line="259" w:lineRule="auto"/>
        <w:jc w:val="both"/>
        <w:sectPr>
          <w:pgSz w:w="12240" w:h="15840"/>
          <w:pgMar w:header="719" w:footer="443" w:top="920" w:bottom="7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spacing w:before="1"/>
        <w:ind w:left="2974" w:right="0" w:firstLine="0"/>
        <w:jc w:val="left"/>
        <w:rPr>
          <w:i/>
          <w:sz w:val="22"/>
        </w:rPr>
      </w:pPr>
      <w:r>
        <w:rPr>
          <w:i/>
          <w:sz w:val="22"/>
        </w:rPr>
        <w:t>Mixed Use Development</w:t>
      </w:r>
    </w:p>
    <w:p>
      <w:pPr>
        <w:pStyle w:val="BodyText"/>
        <w:spacing w:line="259" w:lineRule="auto" w:before="156"/>
        <w:ind w:left="1676" w:right="1433"/>
        <w:jc w:val="both"/>
      </w:pPr>
      <w:r>
        <w:rPr/>
        <w:br w:type="column"/>
      </w:r>
      <w:r>
        <w:rPr/>
        <w:t>Loudoun County continues to be an attractive place for residential development given its geographic location in the region, school system performance, and notable quality of life measures. Demand for residential product will need to meet a wide variety of preferences, driven by attractiveness for families, young adults forming new households, and downsizing occurring in the Baby Boomer generation. Demand for non-residential development will be driven by the addition of new households, the County’s assets,</w:t>
      </w:r>
    </w:p>
    <w:p>
      <w:pPr>
        <w:spacing w:after="0" w:line="259" w:lineRule="auto"/>
        <w:jc w:val="both"/>
        <w:sectPr>
          <w:type w:val="continuous"/>
          <w:pgSz w:w="12240" w:h="15840"/>
          <w:pgMar w:top="920" w:bottom="640" w:left="0" w:right="0"/>
          <w:cols w:num="2" w:equalWidth="0">
            <w:col w:w="5137" w:space="40"/>
            <w:col w:w="7063"/>
          </w:cols>
        </w:sectPr>
      </w:pPr>
    </w:p>
    <w:p>
      <w:pPr>
        <w:pStyle w:val="BodyText"/>
        <w:spacing w:line="259" w:lineRule="auto"/>
        <w:ind w:left="1440" w:right="1436"/>
        <w:jc w:val="both"/>
      </w:pPr>
      <w:r>
        <w:rPr/>
        <w:t>infrastructure, and the County’s technology sector. Retail users will follow new residential development, seeking locations that offer accessibility and visibility to an expanding customer base.</w:t>
      </w:r>
      <w:r>
        <w:rPr>
          <w:spacing w:val="-9"/>
        </w:rPr>
        <w:t> </w:t>
      </w:r>
      <w:r>
        <w:rPr/>
        <w:t>Other</w:t>
      </w:r>
      <w:r>
        <w:rPr>
          <w:spacing w:val="-9"/>
        </w:rPr>
        <w:t> </w:t>
      </w:r>
      <w:r>
        <w:rPr/>
        <w:t>employers</w:t>
      </w:r>
      <w:r>
        <w:rPr>
          <w:spacing w:val="-8"/>
        </w:rPr>
        <w:t> </w:t>
      </w:r>
      <w:r>
        <w:rPr/>
        <w:t>seeking</w:t>
      </w:r>
      <w:r>
        <w:rPr>
          <w:spacing w:val="-10"/>
        </w:rPr>
        <w:t> </w:t>
      </w:r>
      <w:r>
        <w:rPr/>
        <w:t>office</w:t>
      </w:r>
      <w:r>
        <w:rPr>
          <w:spacing w:val="-7"/>
        </w:rPr>
        <w:t> </w:t>
      </w:r>
      <w:r>
        <w:rPr/>
        <w:t>and</w:t>
      </w:r>
      <w:r>
        <w:rPr>
          <w:spacing w:val="-8"/>
        </w:rPr>
        <w:t> </w:t>
      </w:r>
      <w:r>
        <w:rPr/>
        <w:t>industrial</w:t>
      </w:r>
      <w:r>
        <w:rPr>
          <w:spacing w:val="-7"/>
        </w:rPr>
        <w:t> </w:t>
      </w:r>
      <w:r>
        <w:rPr/>
        <w:t>space</w:t>
      </w:r>
      <w:r>
        <w:rPr>
          <w:spacing w:val="-10"/>
        </w:rPr>
        <w:t> </w:t>
      </w:r>
      <w:r>
        <w:rPr/>
        <w:t>will</w:t>
      </w:r>
      <w:r>
        <w:rPr>
          <w:spacing w:val="-8"/>
        </w:rPr>
        <w:t> </w:t>
      </w:r>
      <w:r>
        <w:rPr/>
        <w:t>locate</w:t>
      </w:r>
      <w:r>
        <w:rPr>
          <w:spacing w:val="-10"/>
        </w:rPr>
        <w:t> </w:t>
      </w:r>
      <w:r>
        <w:rPr/>
        <w:t>in</w:t>
      </w:r>
      <w:r>
        <w:rPr>
          <w:spacing w:val="0"/>
        </w:rPr>
        <w:t> </w:t>
      </w:r>
      <w:r>
        <w:rPr/>
        <w:t>areas</w:t>
      </w:r>
      <w:r>
        <w:rPr>
          <w:spacing w:val="-17"/>
        </w:rPr>
        <w:t> </w:t>
      </w:r>
      <w:r>
        <w:rPr/>
        <w:t>that</w:t>
      </w:r>
      <w:r>
        <w:rPr>
          <w:spacing w:val="-16"/>
        </w:rPr>
        <w:t> </w:t>
      </w:r>
      <w:r>
        <w:rPr/>
        <w:t>serve</w:t>
      </w:r>
      <w:r>
        <w:rPr>
          <w:spacing w:val="-20"/>
        </w:rPr>
        <w:t> </w:t>
      </w:r>
      <w:r>
        <w:rPr/>
        <w:t>their</w:t>
      </w:r>
      <w:r>
        <w:rPr>
          <w:spacing w:val="-16"/>
        </w:rPr>
        <w:t> </w:t>
      </w:r>
      <w:r>
        <w:rPr/>
        <w:t>target needs.</w:t>
      </w:r>
    </w:p>
    <w:p>
      <w:pPr>
        <w:spacing w:after="0" w:line="259" w:lineRule="auto"/>
        <w:jc w:val="both"/>
        <w:sectPr>
          <w:type w:val="continuous"/>
          <w:pgSz w:w="12240" w:h="15840"/>
          <w:pgMar w:top="920" w:bottom="640" w:left="0" w:right="0"/>
        </w:sectPr>
      </w:pPr>
    </w:p>
    <w:p>
      <w:pPr>
        <w:pStyle w:val="BodyText"/>
        <w:rPr>
          <w:sz w:val="20"/>
        </w:rPr>
      </w:pPr>
    </w:p>
    <w:p>
      <w:pPr>
        <w:pStyle w:val="BodyText"/>
        <w:rPr>
          <w:sz w:val="23"/>
        </w:rPr>
      </w:pPr>
    </w:p>
    <w:p>
      <w:pPr>
        <w:pStyle w:val="BodyText"/>
        <w:spacing w:line="259" w:lineRule="auto"/>
        <w:ind w:left="1440" w:right="1440"/>
        <w:jc w:val="both"/>
      </w:pPr>
      <w:r>
        <w:rPr/>
        <w:t>The County previously designated land along its primary transportation corridors for “Keynote Employment”</w:t>
      </w:r>
      <w:r>
        <w:rPr>
          <w:spacing w:val="-5"/>
        </w:rPr>
        <w:t> </w:t>
      </w:r>
      <w:r>
        <w:rPr/>
        <w:t>areas</w:t>
      </w:r>
      <w:r>
        <w:rPr>
          <w:spacing w:val="-7"/>
        </w:rPr>
        <w:t> </w:t>
      </w:r>
      <w:r>
        <w:rPr/>
        <w:t>to</w:t>
      </w:r>
      <w:r>
        <w:rPr>
          <w:spacing w:val="-7"/>
        </w:rPr>
        <w:t> </w:t>
      </w:r>
      <w:r>
        <w:rPr/>
        <w:t>provide</w:t>
      </w:r>
      <w:r>
        <w:rPr>
          <w:spacing w:val="-8"/>
        </w:rPr>
        <w:t> </w:t>
      </w:r>
      <w:r>
        <w:rPr/>
        <w:t>locations</w:t>
      </w:r>
      <w:r>
        <w:rPr>
          <w:spacing w:val="-7"/>
        </w:rPr>
        <w:t> </w:t>
      </w:r>
      <w:r>
        <w:rPr/>
        <w:t>for</w:t>
      </w:r>
      <w:r>
        <w:rPr>
          <w:spacing w:val="-6"/>
        </w:rPr>
        <w:t> </w:t>
      </w:r>
      <w:r>
        <w:rPr/>
        <w:t>corporate</w:t>
      </w:r>
      <w:r>
        <w:rPr>
          <w:spacing w:val="-8"/>
        </w:rPr>
        <w:t> </w:t>
      </w:r>
      <w:r>
        <w:rPr/>
        <w:t>campus</w:t>
      </w:r>
      <w:r>
        <w:rPr>
          <w:spacing w:val="-7"/>
        </w:rPr>
        <w:t> </w:t>
      </w:r>
      <w:r>
        <w:rPr/>
        <w:t>style</w:t>
      </w:r>
      <w:r>
        <w:rPr>
          <w:spacing w:val="-6"/>
        </w:rPr>
        <w:t> </w:t>
      </w:r>
      <w:r>
        <w:rPr/>
        <w:t>office</w:t>
      </w:r>
      <w:r>
        <w:rPr>
          <w:spacing w:val="-8"/>
        </w:rPr>
        <w:t> </w:t>
      </w:r>
      <w:r>
        <w:rPr/>
        <w:t>development;</w:t>
      </w:r>
      <w:r>
        <w:rPr>
          <w:spacing w:val="-7"/>
        </w:rPr>
        <w:t> </w:t>
      </w:r>
      <w:r>
        <w:rPr/>
        <w:t>however, new suburban-style office developments are no longer envisioned in these areas due to declining demand and concerns about the sustainability of single-use development</w:t>
      </w:r>
      <w:r>
        <w:rPr>
          <w:spacing w:val="-10"/>
        </w:rPr>
        <w:t> </w:t>
      </w:r>
      <w:r>
        <w:rPr/>
        <w:t>patterns.</w:t>
      </w:r>
    </w:p>
    <w:p>
      <w:pPr>
        <w:pStyle w:val="BodyText"/>
        <w:spacing w:line="259" w:lineRule="auto" w:before="159"/>
        <w:ind w:left="1440" w:right="5231"/>
        <w:jc w:val="both"/>
      </w:pPr>
      <w:r>
        <w:rPr/>
        <w:pict>
          <v:group style="position:absolute;margin-left:90.066002pt;margin-top:8.923125pt;width:449.4pt;height:465.2pt;mso-position-horizontal-relative:page;mso-position-vertical-relative:paragraph;z-index:-33256" coordorigin="1801,178" coordsize="8988,9304">
            <v:shape style="position:absolute;left:1801;top:1103;width:7906;height:8380" coordorigin="1801,1103" coordsize="7906,8380" path="m4498,8367l4492,8294,4477,8216,4455,8133,4432,8064,4402,7991,4367,7916,4325,7838,4276,7758,4236,7699,4200,7648,4200,8334,4197,8390,4185,8447,4167,8504,4138,8564,4097,8627,4044,8693,3979,8762,3674,9068,2216,7610,2517,7309,2598,7233,2672,7173,2740,7130,2801,7103,2868,7088,2941,7084,3020,7091,3105,7109,3195,7138,3255,7164,3317,7196,3380,7235,3446,7280,3514,7331,3584,7390,3656,7454,3729,7526,3789,7587,3844,7647,3896,7706,3943,7764,3986,7821,4024,7876,4059,7930,4101,8005,4136,8077,4163,8146,4183,8213,4196,8277,4200,8334,4200,7648,4194,7639,4148,7579,4098,7519,4045,7458,3989,7396,3929,7334,3865,7272,3801,7214,3737,7159,3673,7107,3643,7084,3609,7059,3546,7015,3482,6974,3419,6936,3346,6898,3274,6866,3203,6838,3132,6816,3062,6799,2992,6787,2923,6780,2850,6779,2779,6785,2709,6800,2642,6823,2577,6853,2528,6882,2476,6919,2420,6964,2359,7019,2294,7081,1801,7574,3710,9482,4124,9068,4226,8966,4287,8901,4341,8835,4386,8770,4424,8703,4454,8636,4476,8570,4491,8503,4498,8436,4498,8367m6418,6774l6056,6646,5650,6503,5561,6474,5475,6450,5393,6431,5364,6426,5314,6417,5239,6407,5193,6405,5143,6408,5089,6415,5030,6426,5074,6356,5109,6287,5136,6218,5154,6149,5164,6080,5165,6012,5157,5944,5139,5866,5111,5790,5075,5715,5030,5643,4976,5572,4956,5549,4913,5503,4872,5465,4872,6022,4868,6078,4854,6133,4830,6189,4794,6248,4747,6309,4687,6373,4413,6646,4280,6780,3649,6148,4102,5695,4166,5638,4229,5595,4293,5566,4358,5550,4422,5549,4501,5565,4577,5594,4649,5639,4718,5699,4761,5746,4797,5797,4827,5851,4851,5907,4867,5965,4872,6022,4872,5465,4849,5444,4782,5391,4713,5346,4641,5307,4566,5275,4474,5247,4386,5234,4303,5236,4225,5252,4163,5277,4098,5314,4030,5362,3958,5421,3883,5492,3248,6127,5157,8035,5346,7846,4499,6998,4718,6780,4753,6745,4783,6718,4810,6697,4833,6682,4863,6669,4896,6658,4932,6650,4971,6646,5014,6646,5066,6651,5125,6662,5194,6678,5256,6696,5328,6716,5407,6741,5496,6771,6180,7012,6418,6774m7780,5412l7415,5216,6555,4762,6555,5069,6070,5555,5989,5412,5748,4981,5708,4909,5668,4838,5629,4772,5590,4707,5550,4644,5509,4580,5467,4518,5424,4457,5380,4396,5436,4432,5498,4470,5564,4510,5635,4552,5792,4642,6555,5069,6555,4762,5862,4396,5286,4089,5082,4293,5277,4644,5316,4714,5701,5412,6168,6260,6441,6751,6642,6550,6565,6417,6298,5948,6221,5815,6481,5555,6820,5216,7565,5627,7780,5412m8131,5061l7264,4194,7489,3969,7936,3522,7711,3297,7039,3969,6448,3378,7224,2602,6999,2377,6033,3342,7941,5250,8131,5061m9707,3485l8213,1991,8024,1802,8497,1328,8272,1103,7138,2238,7363,2463,7834,1991,9517,3674,9707,3485e" filled="true" fillcolor="#c0c0c0" stroked="false">
              <v:path arrowok="t"/>
              <v:fill opacity="32896f" type="solid"/>
            </v:shape>
            <v:shape style="position:absolute;left:7185;top:178;width:3604;height:8820" type="#_x0000_t75" stroked="false">
              <v:imagedata r:id="rId12" o:title=""/>
            </v:shape>
            <v:shape style="position:absolute;left:7709;top:343;width:2556;height:1917" type="#_x0000_t75" stroked="false">
              <v:imagedata r:id="rId13" o:title=""/>
            </v:shape>
            <v:shape style="position:absolute;left:7622;top:7004;width:2729;height:1779" type="#_x0000_t75" stroked="false">
              <v:imagedata r:id="rId14" o:title=""/>
            </v:shape>
            <w10:wrap type="none"/>
          </v:group>
        </w:pict>
      </w:r>
      <w:r>
        <w:rPr/>
        <w:pict>
          <v:shape style="position:absolute;margin-left:359.25pt;margin-top:8.923125pt;width:180.2pt;height:441pt;mso-position-horizontal-relative:page;mso-position-vertical-relative:paragraph;z-index:112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5"/>
                    <w:ind w:left="712" w:right="0" w:firstLine="0"/>
                    <w:jc w:val="left"/>
                    <w:rPr>
                      <w:rFonts w:ascii="Candara"/>
                      <w:b/>
                      <w:i/>
                      <w:sz w:val="24"/>
                    </w:rPr>
                  </w:pPr>
                  <w:r>
                    <w:rPr>
                      <w:rFonts w:ascii="Candara"/>
                      <w:b/>
                      <w:i/>
                      <w:sz w:val="24"/>
                    </w:rPr>
                    <w:t>Community Character</w:t>
                  </w:r>
                </w:p>
                <w:p>
                  <w:pPr>
                    <w:spacing w:before="204"/>
                    <w:ind w:left="455" w:right="0" w:firstLine="0"/>
                    <w:jc w:val="left"/>
                    <w:rPr>
                      <w:rFonts w:ascii="Candara"/>
                      <w:i/>
                      <w:sz w:val="24"/>
                    </w:rPr>
                  </w:pPr>
                  <w:r>
                    <w:rPr>
                      <w:rFonts w:ascii="Candara"/>
                      <w:i/>
                      <w:sz w:val="24"/>
                    </w:rPr>
                    <w:t>Community character is the</w:t>
                  </w:r>
                </w:p>
                <w:p>
                  <w:pPr>
                    <w:spacing w:line="276" w:lineRule="auto" w:before="43"/>
                    <w:ind w:left="227" w:right="223" w:firstLine="3"/>
                    <w:jc w:val="center"/>
                    <w:rPr>
                      <w:rFonts w:ascii="Candara"/>
                      <w:i/>
                      <w:sz w:val="24"/>
                    </w:rPr>
                  </w:pPr>
                  <w:r>
                    <w:rPr>
                      <w:rFonts w:ascii="Candara"/>
                      <w:i/>
                      <w:sz w:val="24"/>
                    </w:rPr>
                    <w:t>aggregate of features and traits </w:t>
                  </w:r>
                  <w:r>
                    <w:rPr>
                      <w:rFonts w:ascii="Candara"/>
                      <w:i/>
                      <w:sz w:val="24"/>
                    </w:rPr>
                    <w:t>that form the individual nature and uniqueness of a </w:t>
                  </w:r>
                  <w:r>
                    <w:rPr>
                      <w:rFonts w:ascii="Candara"/>
                      <w:i/>
                      <w:spacing w:val="-3"/>
                      <w:sz w:val="24"/>
                    </w:rPr>
                    <w:t>community. </w:t>
                  </w:r>
                  <w:r>
                    <w:rPr>
                      <w:rFonts w:ascii="Candara"/>
                      <w:i/>
                      <w:sz w:val="24"/>
                    </w:rPr>
                    <w:t>It includes the constructed and natural landmarks and surroundings that cause</w:t>
                  </w:r>
                </w:p>
                <w:p>
                  <w:pPr>
                    <w:spacing w:line="278" w:lineRule="auto" w:before="0"/>
                    <w:ind w:left="304" w:right="0" w:firstLine="184"/>
                    <w:jc w:val="left"/>
                    <w:rPr>
                      <w:rFonts w:ascii="Candara"/>
                      <w:i/>
                      <w:sz w:val="24"/>
                    </w:rPr>
                  </w:pPr>
                  <w:r>
                    <w:rPr>
                      <w:rFonts w:ascii="Candara"/>
                      <w:i/>
                      <w:sz w:val="24"/>
                    </w:rPr>
                    <w:t>someone to identify with a </w:t>
                  </w:r>
                  <w:r>
                    <w:rPr>
                      <w:rFonts w:ascii="Candara"/>
                      <w:i/>
                      <w:sz w:val="24"/>
                    </w:rPr>
                    <w:t>particular place or community.</w:t>
                  </w:r>
                </w:p>
                <w:p>
                  <w:pPr>
                    <w:spacing w:line="278" w:lineRule="auto" w:before="0"/>
                    <w:ind w:left="323" w:right="319" w:firstLine="0"/>
                    <w:jc w:val="center"/>
                    <w:rPr>
                      <w:rFonts w:ascii="Candara"/>
                      <w:i/>
                      <w:sz w:val="24"/>
                    </w:rPr>
                  </w:pPr>
                  <w:r>
                    <w:rPr>
                      <w:rFonts w:ascii="Candara"/>
                      <w:i/>
                      <w:sz w:val="24"/>
                    </w:rPr>
                    <w:t>This character is shaped by </w:t>
                  </w:r>
                  <w:r>
                    <w:rPr>
                      <w:rFonts w:ascii="Candara"/>
                      <w:i/>
                      <w:sz w:val="24"/>
                    </w:rPr>
                    <w:t>natural, cultural, societal,</w:t>
                  </w:r>
                </w:p>
                <w:p>
                  <w:pPr>
                    <w:spacing w:line="288" w:lineRule="exact" w:before="0"/>
                    <w:ind w:left="323" w:right="320" w:firstLine="0"/>
                    <w:jc w:val="center"/>
                    <w:rPr>
                      <w:rFonts w:ascii="Candara"/>
                      <w:i/>
                      <w:sz w:val="24"/>
                    </w:rPr>
                  </w:pPr>
                  <w:r>
                    <w:rPr>
                      <w:rFonts w:ascii="Candara"/>
                      <w:i/>
                      <w:sz w:val="24"/>
                    </w:rPr>
                    <w:t>historic, and economic forces.</w:t>
                  </w:r>
                </w:p>
              </w:txbxContent>
            </v:textbox>
            <w10:wrap type="none"/>
          </v:shape>
        </w:pict>
      </w:r>
      <w:r>
        <w:rPr/>
        <w:t>It is expected that mixed-use developments, such as One Loudoun or those proposed near the future Silver Line Metro Stations, will be the most attractive environments for retail and office uses in the coming years. To provide alternative means of addressing office development and land uses along Route 7, Loudoun County Parkway, and Route 28, this Plan replaces the “Keynote Employment” planned land use designation with a number of designations. To continue to maximize the commercial development potential within the Route 28 corridor, the Suburban Employment and Suburban Mixed Use Place Type designations offer planned land uses that reflect the full economic potential of properties and provide employment settings that reflect the kind of environments sought by business users.</w:t>
      </w:r>
    </w:p>
    <w:p>
      <w:pPr>
        <w:pStyle w:val="BodyText"/>
        <w:spacing w:line="259" w:lineRule="auto" w:before="157"/>
        <w:ind w:left="1440" w:right="5232"/>
        <w:jc w:val="both"/>
      </w:pPr>
      <w:r>
        <w:rPr/>
        <w:t>In addition, changes in technology over the past decade have contributed to the escalated development of data centers within the County. To date, there are</w:t>
      </w:r>
    </w:p>
    <w:p>
      <w:pPr>
        <w:pStyle w:val="BodyText"/>
        <w:spacing w:line="259" w:lineRule="auto"/>
        <w:ind w:left="1440" w:right="5229"/>
        <w:jc w:val="both"/>
      </w:pPr>
      <w:r>
        <w:rPr/>
        <w:t>approximately</w:t>
      </w:r>
      <w:r>
        <w:rPr>
          <w:spacing w:val="-13"/>
        </w:rPr>
        <w:t> </w:t>
      </w:r>
      <w:r>
        <w:rPr/>
        <w:t>seventeen</w:t>
      </w:r>
      <w:r>
        <w:rPr>
          <w:spacing w:val="-5"/>
        </w:rPr>
        <w:t> </w:t>
      </w:r>
      <w:r>
        <w:rPr/>
        <w:t>million</w:t>
      </w:r>
      <w:r>
        <w:rPr>
          <w:spacing w:val="-8"/>
        </w:rPr>
        <w:t> </w:t>
      </w:r>
      <w:r>
        <w:rPr/>
        <w:t>square</w:t>
      </w:r>
      <w:r>
        <w:rPr>
          <w:spacing w:val="-10"/>
        </w:rPr>
        <w:t> </w:t>
      </w:r>
      <w:r>
        <w:rPr/>
        <w:t>feet</w:t>
      </w:r>
      <w:r>
        <w:rPr>
          <w:spacing w:val="-8"/>
        </w:rPr>
        <w:t> </w:t>
      </w:r>
      <w:r>
        <w:rPr/>
        <w:t>of</w:t>
      </w:r>
      <w:r>
        <w:rPr>
          <w:spacing w:val="-9"/>
        </w:rPr>
        <w:t> </w:t>
      </w:r>
      <w:r>
        <w:rPr/>
        <w:t>data</w:t>
      </w:r>
      <w:r>
        <w:rPr>
          <w:spacing w:val="-9"/>
        </w:rPr>
        <w:t> </w:t>
      </w:r>
      <w:r>
        <w:rPr/>
        <w:t>center facilities completed, under construction, or planned. Future demand for data centers will need to be accommodated in places that have access to utilities, including electricity, water, and fiber. The supply of industrial and flex space is being outpaced by demand, resulting in low vacancy rates. As available greenfield sites in eastern Loudoun County become more limited, targeting key tracts of land for employment uses will be critical to ensure future economic</w:t>
      </w:r>
      <w:r>
        <w:rPr>
          <w:spacing w:val="-2"/>
        </w:rPr>
        <w:t> </w:t>
      </w:r>
      <w:r>
        <w:rPr/>
        <w:t>growth.</w:t>
      </w:r>
    </w:p>
    <w:p>
      <w:pPr>
        <w:pStyle w:val="BodyText"/>
        <w:spacing w:before="158"/>
        <w:ind w:left="1440"/>
        <w:jc w:val="both"/>
      </w:pPr>
      <w:r>
        <w:rPr/>
        <w:t>Overall, the County’s approach is to ensure that future</w:t>
      </w:r>
    </w:p>
    <w:p>
      <w:pPr>
        <w:pStyle w:val="BodyText"/>
        <w:spacing w:line="259" w:lineRule="auto" w:before="22"/>
        <w:ind w:left="1440" w:right="1437"/>
        <w:jc w:val="both"/>
      </w:pPr>
      <w:r>
        <w:rPr/>
        <w:t>development is complementary to the existing development pattern of the SPA while supporting the necessary flexibility in form and use that will be needed to create vibrant mixed-use environments. As each new development is absorbed into the SPA’s built environment, it will be viewed in the context of its larger community with an emphasis placed on the character of the development and how it contributes to the needs and overall identity of the SPA and Loudoun County.</w:t>
      </w:r>
    </w:p>
    <w:p>
      <w:pPr>
        <w:spacing w:after="0" w:line="259" w:lineRule="auto"/>
        <w:jc w:val="both"/>
        <w:sectPr>
          <w:pgSz w:w="12240" w:h="15840"/>
          <w:pgMar w:header="719" w:footer="443" w:top="920" w:bottom="740" w:left="0" w:right="0"/>
        </w:sectPr>
      </w:pPr>
    </w:p>
    <w:p>
      <w:pPr>
        <w:pStyle w:val="BodyText"/>
        <w:rPr>
          <w:sz w:val="20"/>
        </w:rPr>
      </w:pPr>
    </w:p>
    <w:p>
      <w:pPr>
        <w:pStyle w:val="Heading2"/>
      </w:pPr>
      <w:r>
        <w:rPr/>
        <w:t>Place Types</w:t>
      </w:r>
    </w:p>
    <w:p>
      <w:pPr>
        <w:pStyle w:val="BodyText"/>
        <w:spacing w:line="259" w:lineRule="auto" w:before="25"/>
        <w:ind w:left="1440" w:right="1439"/>
        <w:jc w:val="both"/>
      </w:pPr>
      <w:r>
        <w:rPr/>
        <w:t>As</w:t>
      </w:r>
      <w:r>
        <w:rPr>
          <w:spacing w:val="-4"/>
        </w:rPr>
        <w:t> </w:t>
      </w:r>
      <w:r>
        <w:rPr/>
        <w:t>described</w:t>
      </w:r>
      <w:r>
        <w:rPr>
          <w:spacing w:val="-4"/>
        </w:rPr>
        <w:t> </w:t>
      </w:r>
      <w:r>
        <w:rPr/>
        <w:t>in</w:t>
      </w:r>
      <w:r>
        <w:rPr>
          <w:spacing w:val="-3"/>
        </w:rPr>
        <w:t> </w:t>
      </w:r>
      <w:r>
        <w:rPr/>
        <w:t>the</w:t>
      </w:r>
      <w:r>
        <w:rPr>
          <w:spacing w:val="-2"/>
        </w:rPr>
        <w:t> </w:t>
      </w:r>
      <w:r>
        <w:rPr/>
        <w:t>beginning</w:t>
      </w:r>
      <w:r>
        <w:rPr>
          <w:spacing w:val="-6"/>
        </w:rPr>
        <w:t> </w:t>
      </w:r>
      <w:r>
        <w:rPr/>
        <w:t>of</w:t>
      </w:r>
      <w:r>
        <w:rPr>
          <w:spacing w:val="-2"/>
        </w:rPr>
        <w:t> </w:t>
      </w:r>
      <w:r>
        <w:rPr/>
        <w:t>this</w:t>
      </w:r>
      <w:r>
        <w:rPr>
          <w:spacing w:val="-4"/>
        </w:rPr>
        <w:t> </w:t>
      </w:r>
      <w:r>
        <w:rPr/>
        <w:t>chapter,</w:t>
      </w:r>
      <w:r>
        <w:rPr>
          <w:spacing w:val="-5"/>
        </w:rPr>
        <w:t> </w:t>
      </w:r>
      <w:r>
        <w:rPr/>
        <w:t>the</w:t>
      </w:r>
      <w:r>
        <w:rPr>
          <w:spacing w:val="-2"/>
        </w:rPr>
        <w:t> </w:t>
      </w:r>
      <w:r>
        <w:rPr/>
        <w:t>following</w:t>
      </w:r>
      <w:r>
        <w:rPr>
          <w:spacing w:val="-6"/>
        </w:rPr>
        <w:t> </w:t>
      </w:r>
      <w:r>
        <w:rPr/>
        <w:t>Place</w:t>
      </w:r>
      <w:r>
        <w:rPr>
          <w:spacing w:val="-5"/>
        </w:rPr>
        <w:t> </w:t>
      </w:r>
      <w:r>
        <w:rPr/>
        <w:t>Types</w:t>
      </w:r>
      <w:r>
        <w:rPr>
          <w:spacing w:val="-1"/>
        </w:rPr>
        <w:t> </w:t>
      </w:r>
      <w:r>
        <w:rPr/>
        <w:t>have</w:t>
      </w:r>
      <w:r>
        <w:rPr>
          <w:spacing w:val="-5"/>
        </w:rPr>
        <w:t> </w:t>
      </w:r>
      <w:r>
        <w:rPr/>
        <w:t>been</w:t>
      </w:r>
      <w:r>
        <w:rPr>
          <w:spacing w:val="-4"/>
        </w:rPr>
        <w:t> </w:t>
      </w:r>
      <w:r>
        <w:rPr/>
        <w:t>designated</w:t>
      </w:r>
      <w:r>
        <w:rPr>
          <w:spacing w:val="-4"/>
        </w:rPr>
        <w:t> </w:t>
      </w:r>
      <w:r>
        <w:rPr/>
        <w:t>for specific locations as displayed on the accompanying map. The Place Types will work in concert with the Design Guidelines and Policies, Strategies, and Actions of the SPA to fulfill the land use patterns and community characteristics intended for the</w:t>
      </w:r>
      <w:r>
        <w:rPr>
          <w:spacing w:val="-4"/>
        </w:rPr>
        <w:t> </w:t>
      </w:r>
      <w:r>
        <w:rPr/>
        <w:t>area.</w:t>
      </w:r>
    </w:p>
    <w:p>
      <w:pPr>
        <w:pStyle w:val="BodyText"/>
        <w:rPr>
          <w:sz w:val="20"/>
        </w:rPr>
      </w:pPr>
    </w:p>
    <w:p>
      <w:pPr>
        <w:pStyle w:val="BodyText"/>
        <w:rPr>
          <w:sz w:val="20"/>
        </w:rPr>
      </w:pPr>
    </w:p>
    <w:p>
      <w:pPr>
        <w:pStyle w:val="BodyText"/>
        <w:spacing w:before="10"/>
        <w:rPr>
          <w:sz w:val="15"/>
        </w:rPr>
      </w:pPr>
      <w:r>
        <w:rPr/>
        <w:pict>
          <v:group style="position:absolute;margin-left:90.066002pt;margin-top:11.074746pt;width:395.3pt;height:419pt;mso-position-horizontal-relative:page;mso-position-vertical-relative:paragraph;z-index:1144;mso-wrap-distance-left:0;mso-wrap-distance-right:0" coordorigin="1801,221" coordsize="7906,8380">
            <v:shape style="position:absolute;left:1801;top:5896;width:2698;height:2704" coordorigin="1801,5897" coordsize="2698,2704" path="m2850,5897l2779,5904,2709,5919,2642,5941,2577,5972,2528,6000,2476,6037,2420,6083,2359,6137,2294,6199,1801,6692,3710,8601,4124,8186,3674,8186,2216,6728,2517,6427,2598,6351,2672,6291,2740,6248,2801,6221,2868,6207,2941,6203,3643,6203,3609,6178,3546,6133,3482,6092,3419,6054,3346,6016,3274,5984,3203,5957,3132,5935,3062,5918,2992,5906,2923,5898,2850,5897xm3643,6203l2941,6203,3020,6209,3105,6227,3195,6256,3255,6282,3317,6314,3380,6353,3446,6398,3514,6450,3584,6508,3656,6573,3729,6644,3789,6705,3844,6766,3896,6825,3943,6882,3986,6939,4024,6994,4059,7048,4101,7123,4136,7195,4163,7265,4183,7332,4196,7396,4200,7452,4197,7508,4185,7565,4167,7622,4138,7682,4097,7745,4044,7811,3979,7880,3674,8186,4124,8186,4226,8084,4287,8019,4341,7954,4386,7888,4424,7821,4454,7755,4476,7688,4491,7621,4498,7554,4498,7485,4492,7412,4477,7334,4455,7251,4432,7182,4402,7110,4367,7035,4325,6957,4276,6876,4236,6817,4194,6757,4148,6697,4098,6637,4045,6576,3989,6514,3929,6453,3865,6391,3801,6332,3737,6277,3673,6226,3643,6203xe" filled="true" fillcolor="#c0c0c0" stroked="false">
              <v:path arrowok="t"/>
              <v:fill opacity="32896f" type="solid"/>
            </v:shape>
            <v:shape style="position:absolute;left:3248;top:4352;width:3170;height:2802" coordorigin="3248,4352" coordsize="3170,2802" path="m4386,4352l4303,4354,4225,4370,4163,4395,4098,4432,4030,4480,3958,4539,3883,4610,3248,5245,5157,7153,5346,6964,4499,6117,4718,5898,4280,5898,3649,5267,4102,4814,4166,4757,4229,4713,4293,4684,4358,4669,4422,4667,4956,4667,4913,4621,4849,4562,4782,4510,4713,4464,4641,4426,4566,4393,4474,4365,4386,4352xm6056,5764l4971,5764,5014,5765,5066,5770,5125,5780,5194,5796,5256,5814,5328,5835,5407,5860,5496,5889,6180,6130,6418,5892,6056,5764xm4956,4667l4422,4667,4501,4683,4577,4713,4649,4757,4718,4817,4761,4864,4797,4915,4827,4969,4851,5025,4867,5084,4872,5141,4868,5196,4854,5251,4830,5308,4794,5366,4747,5427,4687,5491,4413,5765,4280,5898,4718,5898,4753,5863,4783,5836,4810,5815,4833,5800,4863,5787,4896,5776,4932,5769,4971,5764,6056,5764,5650,5621,5561,5592,5475,5568,5393,5549,5364,5544,5030,5544,5074,5474,5109,5405,5136,5336,5154,5267,5164,5198,5165,5130,5157,5062,5139,4985,5111,4908,5075,4834,5030,4761,4976,4690,4956,4667xm5193,5523l5143,5526,5089,5533,5030,5544,5364,5544,5314,5535,5239,5525,5193,5523xe" filled="true" fillcolor="#c0c0c0" stroked="false">
              <v:path arrowok="t"/>
              <v:fill opacity="32896f" type="solid"/>
            </v:shape>
            <v:shape style="position:absolute;left:5082;top:3207;width:2699;height:2662" coordorigin="5082,3207" coordsize="2699,2662" path="m5286,3207l5082,3411,5277,3762,5316,3832,5701,4530,6168,5379,6441,5869,6642,5668,6565,5535,6298,5067,6221,4933,6481,4673,6070,4673,5989,4530,5748,4099,5708,4027,5668,3956,5629,3890,5590,3826,5550,3762,5509,3699,5467,3636,5424,3575,5380,3514,5862,3514,5286,3207xm7415,4335l6820,4335,7565,4746,7780,4530,7415,4335xm5862,3514l5380,3514,5436,3550,5498,3588,5564,3628,5635,3670,5792,3760,6555,4187,6070,4673,6481,4673,6820,4335,7415,4335,5862,3514xe" filled="true" fillcolor="#c0c0c0" stroked="false">
              <v:path arrowok="t"/>
              <v:fill opacity="32896f" type="solid"/>
            </v:shape>
            <v:shape style="position:absolute;left:6033;top:1494;width:2098;height:2874" coordorigin="6033,1495" coordsize="2098,2874" path="m6999,1495l6033,2460,7941,4369,8131,4179,7264,3312,7489,3087,7039,3087,6448,2496,7224,1720,6999,1495xm7711,2415l7039,3087,7489,3087,7936,2640,7711,2415xe" filled="true" fillcolor="#c0c0c0" stroked="false">
              <v:path arrowok="t"/>
              <v:fill opacity="32896f" type="solid"/>
            </v:shape>
            <v:shape style="position:absolute;left:7137;top:221;width:2570;height:2572" coordorigin="7138,221" coordsize="2570,2572" path="m8213,1110l7834,1110,9517,2793,9707,2603,8213,1110xm8272,221l7138,1356,7363,1581,7834,1110,8213,1110,8024,920,8497,447,8272,221xe" filled="true" fillcolor="#c0c0c0" stroked="false">
              <v:path arrowok="t"/>
              <v:fill opacity="32896f" type="solid"/>
            </v:shape>
            <w10:wrap type="topAndBottom"/>
          </v:group>
        </w:pict>
      </w:r>
    </w:p>
    <w:p>
      <w:pPr>
        <w:spacing w:after="0"/>
        <w:rPr>
          <w:sz w:val="15"/>
        </w:rPr>
        <w:sectPr>
          <w:pgSz w:w="12240" w:h="15840"/>
          <w:pgMar w:header="719" w:footer="443" w:top="920" w:bottom="740" w:left="0" w:right="0"/>
        </w:sectPr>
      </w:pPr>
    </w:p>
    <w:p>
      <w:pPr>
        <w:pStyle w:val="BodyText"/>
        <w:rPr>
          <w:sz w:val="20"/>
        </w:rPr>
      </w:pPr>
    </w:p>
    <w:p>
      <w:pPr>
        <w:pStyle w:val="BodyText"/>
        <w:rPr>
          <w:sz w:val="20"/>
        </w:rPr>
      </w:pPr>
    </w:p>
    <w:p>
      <w:pPr>
        <w:pStyle w:val="BodyText"/>
        <w:spacing w:before="3"/>
        <w:rPr>
          <w:sz w:val="23"/>
        </w:rPr>
      </w:pPr>
    </w:p>
    <w:p>
      <w:pPr>
        <w:spacing w:before="0"/>
        <w:ind w:left="1304" w:right="0" w:firstLine="0"/>
        <w:jc w:val="left"/>
        <w:rPr>
          <w:rFonts w:ascii="Century Gothic"/>
          <w:sz w:val="13"/>
        </w:rPr>
      </w:pPr>
      <w:r>
        <w:rPr/>
        <w:pict>
          <v:shape style="position:absolute;margin-left:545.804321pt;margin-top:.989861pt;width:27.65pt;height:34.65pt;mso-position-horizontal-relative:page;mso-position-vertical-relative:paragraph;z-index:1240" coordorigin="10916,20" coordsize="553,693" path="m11196,432l11150,479,11196,713,11201,689,11196,689,11196,432xm11243,386l11235,386,11453,432,11196,432,11235,479,11196,689,11201,689,11243,479,11469,432,11243,386xm11150,386l10916,432,11150,479,10932,432,11196,432,11150,386xm11200,168l11196,168,11196,432,11235,386,11243,386,11200,168xm11196,152l11150,386,11196,168,11200,168,11196,152xm11165,20l11142,20,11157,35,11157,113,11173,113,11165,105,11165,43,11186,43,11165,20xm11186,43l11165,43,11228,113,11235,113,11235,90,11228,90,11186,43xm11235,20l11212,20,11220,28,11228,28,11228,90,11235,90,11235,20xe" filled="true" fillcolor="#000000" stroked="false">
            <v:path arrowok="t"/>
            <v:fill type="solid"/>
            <w10:wrap type="none"/>
          </v:shape>
        </w:pict>
      </w:r>
      <w:r>
        <w:rPr>
          <w:rFonts w:ascii="Century Gothic"/>
          <w:sz w:val="13"/>
        </w:rPr>
        <w:t>Loudoun County</w:t>
      </w:r>
    </w:p>
    <w:p>
      <w:pPr>
        <w:spacing w:line="247" w:lineRule="auto" w:before="45"/>
        <w:ind w:left="727" w:right="9235" w:firstLine="0"/>
        <w:jc w:val="center"/>
        <w:rPr>
          <w:rFonts w:ascii="Verdana"/>
          <w:b/>
          <w:sz w:val="18"/>
        </w:rPr>
      </w:pPr>
      <w:r>
        <w:rPr>
          <w:rFonts w:ascii="Verdana"/>
          <w:b/>
          <w:spacing w:val="6"/>
          <w:w w:val="95"/>
          <w:sz w:val="18"/>
        </w:rPr>
        <w:t>Su</w:t>
      </w:r>
      <w:r>
        <w:rPr>
          <w:rFonts w:ascii="Verdana"/>
          <w:b/>
          <w:spacing w:val="-47"/>
          <w:w w:val="95"/>
          <w:sz w:val="18"/>
        </w:rPr>
        <w:t> </w:t>
      </w:r>
      <w:r>
        <w:rPr>
          <w:rFonts w:ascii="Verdana"/>
          <w:b/>
          <w:spacing w:val="15"/>
          <w:w w:val="95"/>
          <w:sz w:val="18"/>
        </w:rPr>
        <w:t>burba</w:t>
      </w:r>
      <w:r>
        <w:rPr>
          <w:rFonts w:ascii="Verdana"/>
          <w:b/>
          <w:spacing w:val="-44"/>
          <w:w w:val="95"/>
          <w:sz w:val="18"/>
        </w:rPr>
        <w:t> </w:t>
      </w:r>
      <w:r>
        <w:rPr>
          <w:rFonts w:ascii="Verdana"/>
          <w:b/>
          <w:w w:val="95"/>
          <w:sz w:val="18"/>
        </w:rPr>
        <w:t>n</w:t>
      </w:r>
      <w:r>
        <w:rPr>
          <w:rFonts w:ascii="Verdana"/>
          <w:b/>
          <w:spacing w:val="-15"/>
          <w:w w:val="95"/>
          <w:sz w:val="18"/>
        </w:rPr>
        <w:t> </w:t>
      </w:r>
      <w:r>
        <w:rPr>
          <w:rFonts w:ascii="Verdana"/>
          <w:b/>
          <w:w w:val="95"/>
          <w:sz w:val="18"/>
        </w:rPr>
        <w:t>P</w:t>
      </w:r>
      <w:r>
        <w:rPr>
          <w:rFonts w:ascii="Verdana"/>
          <w:b/>
          <w:spacing w:val="-47"/>
          <w:w w:val="95"/>
          <w:sz w:val="18"/>
        </w:rPr>
        <w:t> </w:t>
      </w:r>
      <w:r>
        <w:rPr>
          <w:rFonts w:ascii="Verdana"/>
          <w:b/>
          <w:spacing w:val="12"/>
          <w:w w:val="95"/>
          <w:sz w:val="18"/>
        </w:rPr>
        <w:t>olic</w:t>
      </w:r>
      <w:r>
        <w:rPr>
          <w:rFonts w:ascii="Verdana"/>
          <w:b/>
          <w:spacing w:val="-47"/>
          <w:w w:val="95"/>
          <w:sz w:val="18"/>
        </w:rPr>
        <w:t> </w:t>
      </w:r>
      <w:r>
        <w:rPr>
          <w:rFonts w:ascii="Verdana"/>
          <w:b/>
          <w:w w:val="95"/>
          <w:sz w:val="18"/>
        </w:rPr>
        <w:t>y</w:t>
      </w:r>
      <w:r>
        <w:rPr>
          <w:rFonts w:ascii="Verdana"/>
          <w:b/>
          <w:spacing w:val="-13"/>
          <w:w w:val="95"/>
          <w:sz w:val="18"/>
        </w:rPr>
        <w:t> </w:t>
      </w:r>
      <w:r>
        <w:rPr>
          <w:rFonts w:ascii="Verdana"/>
          <w:b/>
          <w:w w:val="95"/>
          <w:sz w:val="18"/>
        </w:rPr>
        <w:t>A</w:t>
      </w:r>
      <w:r>
        <w:rPr>
          <w:rFonts w:ascii="Verdana"/>
          <w:b/>
          <w:spacing w:val="-48"/>
          <w:w w:val="95"/>
          <w:sz w:val="18"/>
        </w:rPr>
        <w:t> </w:t>
      </w:r>
      <w:r>
        <w:rPr>
          <w:rFonts w:ascii="Verdana"/>
          <w:b/>
          <w:spacing w:val="10"/>
          <w:w w:val="95"/>
          <w:sz w:val="18"/>
        </w:rPr>
        <w:t>re</w:t>
      </w:r>
      <w:r>
        <w:rPr>
          <w:rFonts w:ascii="Verdana"/>
          <w:b/>
          <w:spacing w:val="-47"/>
          <w:w w:val="95"/>
          <w:sz w:val="18"/>
        </w:rPr>
        <w:t> </w:t>
      </w:r>
      <w:r>
        <w:rPr>
          <w:rFonts w:ascii="Verdana"/>
          <w:b/>
          <w:w w:val="95"/>
          <w:sz w:val="18"/>
        </w:rPr>
        <w:t>a </w:t>
      </w:r>
      <w:r>
        <w:rPr>
          <w:rFonts w:ascii="Verdana"/>
          <w:b/>
          <w:spacing w:val="12"/>
          <w:w w:val="95"/>
          <w:sz w:val="18"/>
        </w:rPr>
        <w:t>Plac</w:t>
      </w:r>
      <w:r>
        <w:rPr>
          <w:rFonts w:ascii="Verdana"/>
          <w:b/>
          <w:spacing w:val="-38"/>
          <w:w w:val="95"/>
          <w:sz w:val="18"/>
        </w:rPr>
        <w:t> </w:t>
      </w:r>
      <w:r>
        <w:rPr>
          <w:rFonts w:ascii="Verdana"/>
          <w:b/>
          <w:w w:val="95"/>
          <w:sz w:val="18"/>
        </w:rPr>
        <w:t>e</w:t>
      </w:r>
      <w:r>
        <w:rPr>
          <w:rFonts w:ascii="Verdana"/>
          <w:b/>
          <w:spacing w:val="16"/>
          <w:w w:val="95"/>
          <w:sz w:val="18"/>
        </w:rPr>
        <w:t> </w:t>
      </w:r>
      <w:r>
        <w:rPr>
          <w:rFonts w:ascii="Verdana"/>
          <w:b/>
          <w:w w:val="95"/>
          <w:sz w:val="18"/>
        </w:rPr>
        <w:t>T</w:t>
      </w:r>
      <w:r>
        <w:rPr>
          <w:rFonts w:ascii="Verdana"/>
          <w:b/>
          <w:spacing w:val="-37"/>
          <w:w w:val="95"/>
          <w:sz w:val="18"/>
        </w:rPr>
        <w:t> </w:t>
      </w:r>
      <w:r>
        <w:rPr>
          <w:rFonts w:ascii="Verdana"/>
          <w:b/>
          <w:spacing w:val="13"/>
          <w:w w:val="95"/>
          <w:sz w:val="18"/>
        </w:rPr>
        <w:t>ypes</w:t>
      </w:r>
    </w:p>
    <w:p>
      <w:pPr>
        <w:spacing w:before="30"/>
        <w:ind w:left="727" w:right="9232" w:firstLine="0"/>
        <w:jc w:val="center"/>
        <w:rPr>
          <w:rFonts w:ascii="Century Gothic"/>
          <w:sz w:val="13"/>
        </w:rPr>
      </w:pPr>
      <w:r>
        <w:rPr/>
        <w:drawing>
          <wp:anchor distT="0" distB="0" distL="0" distR="0" allowOverlap="1" layoutInCell="1" locked="0" behindDoc="0" simplePos="0" relativeHeight="1168">
            <wp:simplePos x="0" y="0"/>
            <wp:positionH relativeFrom="page">
              <wp:posOffset>934446</wp:posOffset>
            </wp:positionH>
            <wp:positionV relativeFrom="paragraph">
              <wp:posOffset>160172</wp:posOffset>
            </wp:positionV>
            <wp:extent cx="500372" cy="500252"/>
            <wp:effectExtent l="0" t="0" r="0" b="0"/>
            <wp:wrapTopAndBottom/>
            <wp:docPr id="1" name="image9.png" descr=""/>
            <wp:cNvGraphicFramePr>
              <a:graphicFrameLocks noChangeAspect="1"/>
            </wp:cNvGraphicFramePr>
            <a:graphic>
              <a:graphicData uri="http://schemas.openxmlformats.org/drawingml/2006/picture">
                <pic:pic>
                  <pic:nvPicPr>
                    <pic:cNvPr id="2" name="image9.png"/>
                    <pic:cNvPicPr/>
                  </pic:nvPicPr>
                  <pic:blipFill>
                    <a:blip r:embed="rId17" cstate="print"/>
                    <a:stretch>
                      <a:fillRect/>
                    </a:stretch>
                  </pic:blipFill>
                  <pic:spPr>
                    <a:xfrm>
                      <a:off x="0" y="0"/>
                      <a:ext cx="500372" cy="500252"/>
                    </a:xfrm>
                    <a:prstGeom prst="rect">
                      <a:avLst/>
                    </a:prstGeom>
                  </pic:spPr>
                </pic:pic>
              </a:graphicData>
            </a:graphic>
          </wp:anchor>
        </w:drawing>
      </w:r>
      <w:r>
        <w:rPr>
          <w:rFonts w:ascii="Century Gothic"/>
          <w:sz w:val="13"/>
        </w:rPr>
        <w:t>2040  General Plan</w:t>
      </w:r>
    </w:p>
    <w:p>
      <w:pPr>
        <w:pStyle w:val="BodyText"/>
        <w:rPr>
          <w:rFonts w:ascii="Century Gothic"/>
          <w:sz w:val="16"/>
        </w:rPr>
      </w:pPr>
    </w:p>
    <w:p>
      <w:pPr>
        <w:pStyle w:val="BodyText"/>
        <w:rPr>
          <w:rFonts w:ascii="Century Gothic"/>
          <w:sz w:val="16"/>
        </w:rPr>
      </w:pPr>
    </w:p>
    <w:p>
      <w:pPr>
        <w:pStyle w:val="BodyText"/>
        <w:spacing w:before="3"/>
        <w:rPr>
          <w:rFonts w:ascii="Century Gothic"/>
          <w:sz w:val="12"/>
        </w:rPr>
      </w:pPr>
    </w:p>
    <w:p>
      <w:pPr>
        <w:spacing w:before="0"/>
        <w:ind w:left="727" w:right="9071" w:firstLine="0"/>
        <w:jc w:val="center"/>
        <w:rPr>
          <w:rFonts w:ascii="Century Gothic"/>
          <w:sz w:val="16"/>
        </w:rPr>
      </w:pPr>
      <w:r>
        <w:rPr/>
        <w:pict>
          <v:group style="position:absolute;margin-left:34.647999pt;margin-top:-24.01494pt;width:541.75pt;height:579.550pt;mso-position-horizontal-relative:page;mso-position-vertical-relative:paragraph;z-index:-33160" coordorigin="693,-480" coordsize="10835,11591">
            <v:shape style="position:absolute;left:724;top:-450;width:10675;height:11459" type="#_x0000_t75" stroked="false">
              <v:imagedata r:id="rId18" o:title=""/>
            </v:shape>
            <v:shape style="position:absolute;left:692;top:-481;width:10730;height:11591" type="#_x0000_t75" stroked="false">
              <v:imagedata r:id="rId19" o:title=""/>
            </v:shape>
            <v:shape style="position:absolute;left:724;top:-450;width:10800;height:11521" coordorigin="724,-449" coordsize="10800,11521" path="m724,5311l724,-449,11523,-449,11523,11072,724,11072,724,5311e" filled="false" stroked="true" strokeweight=".389pt" strokecolor="#000000">
              <v:path arrowok="t"/>
              <v:stroke dashstyle="solid"/>
            </v:shape>
            <v:rect style="position:absolute;left:8097;top:8214;width:257;height:133" filled="false" stroked="true" strokeweight=".779pt" strokecolor="#a83800">
              <v:stroke dashstyle="solid"/>
            </v:rect>
            <v:line style="position:absolute" from="8098,8530" to="8354,8530" stroked="true" strokeweight="6.617pt" strokecolor="#6b895f">
              <v:stroke dashstyle="solid"/>
            </v:line>
            <v:line style="position:absolute" from="8098,8779" to="8354,8779" stroked="true" strokeweight="6.617pt" strokecolor="#e7e7e7">
              <v:stroke dashstyle="solid"/>
            </v:line>
            <v:shape style="position:absolute;left:8097;top:9008;width:257;height:32" coordorigin="8098,9009" coordsize="257,32" path="m8175,9009l8098,9009,8098,9040,8175,9040,8175,9009m8277,9009l8199,9009,8199,9040,8277,9040,8277,9009m8354,9009l8300,9009,8300,9040,8354,9040,8354,9009e" filled="true" fillcolor="#000000" stroked="false">
              <v:path arrowok="t"/>
              <v:fill type="solid"/>
            </v:shape>
            <v:shape style="position:absolute;left:8105;top:9012;width:250;height:24" coordorigin="8105,9013" coordsize="250,24" path="m8175,9013l8105,9013,8105,9036,8175,9036,8175,9013m8277,9013l8199,9013,8199,9036,8277,9036,8277,9013m8354,9013l8300,9013,8300,9036,8354,9036,8354,9013e" filled="true" fillcolor="#54ff00" stroked="false">
              <v:path arrowok="t"/>
              <v:fill type="solid"/>
            </v:shape>
            <v:line style="position:absolute" from="8098,9277" to="8354,9277" stroked="true" strokeweight="6.617pt" strokecolor="#9c9c9c">
              <v:stroke dashstyle="solid"/>
            </v:line>
            <v:line style="position:absolute" from="8098,9775" to="8354,9775" stroked="true" strokeweight="6.617pt" strokecolor="#fffa33">
              <v:stroke dashstyle="solid"/>
            </v:line>
            <v:line style="position:absolute" from="8098,10025" to="8354,10025" stroked="true" strokeweight="6.617pt" strokecolor="#ffdc99">
              <v:stroke dashstyle="solid"/>
            </v:line>
            <v:line style="position:absolute" from="8098,10274" to="8354,10274" stroked="true" strokeweight="6.617pt" strokecolor="#eb33b9">
              <v:stroke dashstyle="solid"/>
            </v:line>
            <v:line style="position:absolute" from="8098,10523" to="8354,10523" stroked="true" strokeweight="6.617pt" strokecolor="#c6ecff">
              <v:stroke dashstyle="solid"/>
            </v:line>
            <v:line style="position:absolute" from="8098,10772" to="8354,10772" stroked="true" strokeweight="6.617pt" strokecolor="#33338f">
              <v:stroke dashstyle="solid"/>
            </v:line>
            <w10:wrap type="none"/>
          </v:group>
        </w:pict>
      </w:r>
      <w:r>
        <w:rPr/>
        <w:pict>
          <v:shape style="position:absolute;margin-left:100.400412pt;margin-top:17.79147pt;width:14.9pt;height:4.7pt;mso-position-horizontal-relative:page;mso-position-vertical-relative:paragraph;z-index:2080;rotation:265" type="#_x0000_t136" fillcolor="#000000" stroked="f">
            <o:extrusion v:ext="view" autorotationcenter="t"/>
            <v:textpath style="font-family:&amp;quot;Arial&amp;quot;;font-size:4pt;v-text-kern:t;mso-text-shadow:auto;font-weight:bold;font-style:italic" string="RD SE"/>
            <w10:wrap type="none"/>
          </v:shape>
        </w:pict>
      </w:r>
      <w:r>
        <w:rPr/>
        <w:pict>
          <v:shape style="position:absolute;margin-left:212.289795pt;margin-top:25.03899pt;width:3.45pt;height:4.7pt;mso-position-horizontal-relative:page;mso-position-vertical-relative:paragraph;z-index:2824;rotation:321"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213.601974pt;margin-top:19.197168pt;width:15.45pt;height:4.7pt;mso-position-horizontal-relative:page;mso-position-vertical-relative:paragraph;z-index:2920;rotation:324" type="#_x0000_t136" fillcolor="#000000" stroked="f">
            <o:extrusion v:ext="view" autorotationcenter="t"/>
            <v:textpath style="font-family:&amp;quot;Arial&amp;quot;;font-size:4pt;v-text-kern:t;mso-text-shadow:auto;font-weight:bold;font-style:italic" string="GE RD"/>
            <w10:wrap type="none"/>
          </v:shape>
        </w:pict>
      </w:r>
      <w:r>
        <w:rPr>
          <w:rFonts w:ascii="Century Gothic"/>
          <w:sz w:val="16"/>
        </w:rPr>
        <w:t>Leesburg</w:t>
      </w:r>
    </w:p>
    <w:p>
      <w:pPr>
        <w:pStyle w:val="BodyText"/>
        <w:rPr>
          <w:rFonts w:ascii="Century Gothic"/>
          <w:sz w:val="20"/>
        </w:rPr>
      </w:pPr>
    </w:p>
    <w:p>
      <w:pPr>
        <w:pStyle w:val="BodyText"/>
        <w:rPr>
          <w:rFonts w:ascii="Century Gothic"/>
          <w:sz w:val="20"/>
        </w:rPr>
      </w:pPr>
    </w:p>
    <w:p>
      <w:pPr>
        <w:pStyle w:val="BodyText"/>
        <w:spacing w:before="7"/>
        <w:rPr>
          <w:rFonts w:ascii="Century Gothic"/>
          <w:sz w:val="19"/>
        </w:rPr>
      </w:pPr>
    </w:p>
    <w:p>
      <w:pPr>
        <w:spacing w:before="0"/>
        <w:ind w:left="0" w:right="2648" w:firstLine="0"/>
        <w:jc w:val="center"/>
        <w:rPr>
          <w:rFonts w:ascii="Arial"/>
          <w:b/>
          <w:sz w:val="16"/>
        </w:rPr>
      </w:pPr>
      <w:r>
        <w:rPr/>
        <w:pict>
          <v:shape style="position:absolute;margin-left:451.63385pt;margin-top:57.334423pt;width:3.2pt;height:4.7pt;mso-position-horizontal-relative:page;mso-position-vertical-relative:paragraph;z-index:1288;rotation:2" type="#_x0000_t136" fillcolor="#000000" stroked="f">
            <o:extrusion v:ext="view" autorotationcenter="t"/>
            <v:textpath style="font-family:&amp;quot;Arial&amp;quot;;font-size:4pt;v-text-kern:t;mso-text-shadow:auto;font-weight:bold;font-style:italic" string="P"/>
            <w10:wrap type="none"/>
          </v:shape>
        </w:pict>
      </w:r>
      <w:r>
        <w:rPr/>
        <w:pict>
          <v:shape style="position:absolute;margin-left:454.772186pt;margin-top:57.655415pt;width:11.35pt;height:4.7pt;mso-position-horizontal-relative:page;mso-position-vertical-relative:paragraph;z-index:1336;rotation:3" type="#_x0000_t136" fillcolor="#000000" stroked="f">
            <o:extrusion v:ext="view" autorotationcenter="t"/>
            <v:textpath style="font-family:&amp;quot;Arial&amp;quot;;font-size:4pt;v-text-kern:t;mso-text-shadow:auto;font-weight:bold;font-style:italic" string="KWY"/>
            <w10:wrap type="none"/>
          </v:shape>
        </w:pict>
      </w:r>
      <w:r>
        <w:rPr/>
        <w:pict>
          <v:shape style="position:absolute;margin-left:431.232117pt;margin-top:59.652569pt;width:3.75pt;height:4.7pt;mso-position-horizontal-relative:page;mso-position-vertical-relative:paragraph;z-index:1408;rotation:12" type="#_x0000_t136" fillcolor="#000000" stroked="f">
            <o:extrusion v:ext="view" autorotationcenter="t"/>
            <v:textpath style="font-family:&amp;quot;Arial&amp;quot;;font-size:4pt;v-text-kern:t;mso-text-shadow:auto;font-weight:bold;font-style:italic" string="O"/>
            <w10:wrap type="none"/>
          </v:shape>
        </w:pict>
      </w:r>
      <w:r>
        <w:rPr/>
        <w:pict>
          <v:shape style="position:absolute;margin-left:212.854462pt;margin-top:53.145164pt;width:4.5pt;height:4.7pt;mso-position-horizontal-relative:page;mso-position-vertical-relative:paragraph;z-index:1456;rotation:13" type="#_x0000_t136" fillcolor="#000000" stroked="f">
            <o:extrusion v:ext="view" autorotationcenter="t"/>
            <v:textpath style="font-family:&amp;quot;Arial&amp;quot;;font-size:4pt;v-text-kern:t;mso-text-shadow:auto;font-weight:bold;font-style:italic" string="W"/>
            <w10:wrap type="none"/>
          </v:shape>
        </w:pict>
      </w:r>
      <w:r>
        <w:rPr/>
        <w:pict>
          <v:shape style="position:absolute;margin-left:421.384094pt;margin-top:57.108212pt;width:10.15pt;height:4.7pt;mso-position-horizontal-relative:page;mso-position-vertical-relative:paragraph;z-index:1576;rotation:22" type="#_x0000_t136" fillcolor="#000000" stroked="f">
            <o:extrusion v:ext="view" autorotationcenter="t"/>
            <v:textpath style="font-family:&amp;quot;Arial&amp;quot;;font-size:4pt;v-text-kern:t;mso-text-shadow:auto;font-weight:bold;font-style:italic" string="ALG"/>
            <w10:wrap type="none"/>
          </v:shape>
        </w:pict>
      </w:r>
      <w:r>
        <w:rPr/>
        <w:pict>
          <v:shape style="position:absolute;margin-left:217.355652pt;margin-top:54.592728pt;width:3.2pt;height:4.7pt;mso-position-horizontal-relative:page;mso-position-vertical-relative:paragraph;z-index:1600;rotation:25"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141.214569pt;margin-top:71.461258pt;width:6.45pt;height:4.7pt;mso-position-horizontal-relative:page;mso-position-vertical-relative:paragraph;z-index:1720;rotation:42" type="#_x0000_t136" fillcolor="#000000" stroked="f">
            <o:extrusion v:ext="view" autorotationcenter="t"/>
            <v:textpath style="font-family:&amp;quot;Arial&amp;quot;;font-size:4pt;v-text-kern:t;mso-text-shadow:auto;font-weight:bold;font-style:italic" string="LN"/>
            <w10:wrap type="none"/>
          </v:shape>
        </w:pict>
      </w:r>
      <w:r>
        <w:rPr/>
        <w:pict>
          <v:shape style="position:absolute;margin-left:133.172299pt;margin-top:61.354346pt;width:13.6pt;height:4.7pt;mso-position-horizontal-relative:page;mso-position-vertical-relative:paragraph;z-index:1864;rotation:80" type="#_x0000_t136" fillcolor="#000000" stroked="f">
            <o:extrusion v:ext="view" autorotationcenter="t"/>
            <v:textpath style="font-family:&amp;quot;Arial&amp;quot;;font-size:4pt;v-text-kern:t;mso-text-shadow:auto;font-weight:bold;font-style:italic" string="GANT"/>
            <w10:wrap type="none"/>
          </v:shape>
        </w:pict>
      </w:r>
      <w:r>
        <w:rPr/>
        <w:pict>
          <v:shape style="position:absolute;margin-left:258.043628pt;margin-top:71.671063pt;width:10.3pt;height:4.7pt;mso-position-horizontal-relative:page;mso-position-vertical-relative:paragraph;z-index:1960;rotation:230" type="#_x0000_t136" fillcolor="#000000" stroked="f">
            <o:extrusion v:ext="view" autorotationcenter="t"/>
            <v:textpath style="font-family:&amp;quot;Arial&amp;quot;;font-size:4pt;v-text-kern:t;mso-text-shadow:auto;font-weight:bold;font-style:italic" string="ASH"/>
            <w10:wrap type="none"/>
          </v:shape>
        </w:pict>
      </w:r>
      <w:r>
        <w:rPr/>
        <w:pict>
          <v:shape style="position:absolute;margin-left:257.269867pt;margin-top:66.37854pt;width:3.45pt;height:4.7pt;mso-position-horizontal-relative:page;mso-position-vertical-relative:paragraph;z-index:1984;rotation:241"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251.925955pt;margin-top:49.123899pt;width:7.4pt;height:4.7pt;mso-position-horizontal-relative:page;mso-position-vertical-relative:paragraph;z-index:2008;rotation:257" type="#_x0000_t136" fillcolor="#000000" stroked="f">
            <o:extrusion v:ext="view" autorotationcenter="t"/>
            <v:textpath style="font-family:&amp;quot;Arial&amp;quot;;font-size:4pt;v-text-kern:t;mso-text-shadow:auto;font-weight:bold;font-style:italic" string="VIL"/>
            <w10:wrap type="none"/>
          </v:shape>
        </w:pict>
      </w:r>
      <w:r>
        <w:rPr/>
        <w:pict>
          <v:shape style="position:absolute;margin-left:253.271881pt;margin-top:44.088802pt;width:2.95pt;height:4.7pt;mso-position-horizontal-relative:page;mso-position-vertical-relative:paragraph;z-index:2032;rotation:262"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255.317902pt;margin-top:55.887421pt;width:3.45pt;height:4.7pt;mso-position-horizontal-relative:page;mso-position-vertical-relative:paragraph;z-index:2056;rotation:262"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256.18396pt;margin-top:62.803688pt;width:3.45pt;height:4.7pt;mso-position-horizontal-relative:page;mso-position-vertical-relative:paragraph;z-index:2104;rotation:265" type="#_x0000_t136" fillcolor="#000000" stroked="f">
            <o:extrusion v:ext="view" autorotationcenter="t"/>
            <v:textpath style="font-family:&amp;quot;Arial&amp;quot;;font-size:4pt;v-text-kern:t;mso-text-shadow:auto;font-weight:bold;font-style:italic" string="U"/>
            <w10:wrap type="none"/>
          </v:shape>
        </w:pict>
      </w:r>
      <w:r>
        <w:rPr/>
        <w:pict>
          <v:shape style="position:absolute;margin-left:255.879507pt;margin-top:59.217897pt;width:3.4pt;height:4.7pt;mso-position-horizontal-relative:page;mso-position-vertical-relative:paragraph;z-index:2128;rotation:267"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97.287471pt;margin-top:-8.843608pt;width:21.8pt;height:4.7pt;mso-position-horizontal-relative:page;mso-position-vertical-relative:paragraph;z-index:2176;rotation:273" type="#_x0000_t136" fillcolor="#000000" stroked="f">
            <o:extrusion v:ext="view" autorotationcenter="t"/>
            <v:textpath style="font-family:&amp;quot;Arial&amp;quot;;font-size:4pt;v-text-kern:t;mso-text-shadow:auto;font-weight:bold;font-style:italic" string="SYCOLIN"/>
            <w10:wrap type="none"/>
          </v:shape>
        </w:pict>
      </w:r>
      <w:r>
        <w:rPr/>
        <w:pict>
          <v:shape style="position:absolute;margin-left:252.955826pt;margin-top:40.863583pt;width:3.45pt;height:4.7pt;mso-position-horizontal-relative:page;mso-position-vertical-relative:paragraph;z-index:2296;rotation:286" type="#_x0000_t136" fillcolor="#000000" stroked="f">
            <o:extrusion v:ext="view" autorotationcenter="t"/>
            <v:textpath style="font-family:&amp;quot;Arial&amp;quot;;font-size:4pt;v-text-kern:t;mso-text-shadow:auto;font-weight:bold;font-style:italic" string="A"/>
            <w10:wrap type="none"/>
          </v:shape>
        </w:pict>
      </w:r>
      <w:r>
        <w:rPr/>
        <w:pict>
          <v:shape style="position:absolute;margin-left:193.071326pt;margin-top:65.734399pt;width:3.4pt;height:4.7pt;mso-position-horizontal-relative:page;mso-position-vertical-relative:paragraph;z-index:2320;rotation:287"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194.776434pt;margin-top:3.002331pt;width:3.4pt;height:4.7pt;mso-position-horizontal-relative:page;mso-position-vertical-relative:paragraph;z-index:2368;rotation:291"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196.045242pt;margin-top:-.124755pt;width:3.2pt;height:4.7pt;mso-position-horizontal-relative:page;mso-position-vertical-relative:paragraph;z-index:2512;rotation:303"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254.465073pt;margin-top:37.393101pt;width:3.7pt;height:4.7pt;mso-position-horizontal-relative:page;mso-position-vertical-relative:paragraph;z-index:2560;rotation:306" type="#_x0000_t136" fillcolor="#000000" stroked="f">
            <o:extrusion v:ext="view" autorotationcenter="t"/>
            <v:textpath style="font-family:&amp;quot;Arial&amp;quot;;font-size:4pt;v-text-kern:t;mso-text-shadow:auto;font-weight:bold;font-style:italic" string="G"/>
            <w10:wrap type="none"/>
          </v:shape>
        </w:pict>
      </w:r>
      <w:r>
        <w:rPr/>
        <w:pict>
          <v:shape style="position:absolute;margin-left:194.182898pt;margin-top:-10.196003pt;width:22.15pt;height:4.7pt;mso-position-horizontal-relative:page;mso-position-vertical-relative:paragraph;z-index:2608;rotation:307" type="#_x0000_t136" fillcolor="#000000" stroked="f">
            <o:extrusion v:ext="view" autorotationcenter="t"/>
            <v:textpath style="font-family:&amp;quot;Arial&amp;quot;;font-size:4pt;v-text-kern:t;mso-text-shadow:auto;font-weight:bold;font-style:italic" string="LMONT R"/>
            <w10:wrap type="none"/>
          </v:shape>
        </w:pict>
      </w:r>
      <w:r>
        <w:rPr/>
        <w:pict>
          <v:shape style="position:absolute;margin-left:194.161011pt;margin-top:62.683735pt;width:3.7pt;height:4.7pt;mso-position-horizontal-relative:page;mso-position-vertical-relative:paragraph;z-index:2632;rotation:307" type="#_x0000_t136" fillcolor="#000000" stroked="f">
            <o:extrusion v:ext="view" autorotationcenter="t"/>
            <v:textpath style="font-family:&amp;quot;Arial&amp;quot;;font-size:4pt;v-text-kern:t;mso-text-shadow:auto;font-weight:bold;font-style:italic" string="O"/>
            <w10:wrap type="none"/>
          </v:shape>
        </w:pict>
      </w:r>
      <w:r>
        <w:rPr/>
        <w:pict>
          <v:shape style="position:absolute;margin-left:211.366141pt;margin-top:-19.684237pt;width:1.4pt;height:4.7pt;mso-position-horizontal-relative:page;mso-position-vertical-relative:paragraph;z-index:2656;rotation:308" type="#_x0000_t136" fillcolor="#000000" stroked="f">
            <o:extrusion v:ext="view" autorotationcenter="t"/>
            <v:textpath style="font-family:&amp;quot;Arial&amp;quot;;font-size:4pt;v-text-kern:t;mso-text-shadow:auto;font-weight:bold;font-style:italic" string="I"/>
            <w10:wrap type="none"/>
          </v:shape>
        </w:pict>
      </w:r>
      <w:r>
        <w:rPr/>
        <w:pict>
          <v:shape style="position:absolute;margin-left:257.001929pt;margin-top:34.849718pt;width:3.15pt;height:4.7pt;mso-position-horizontal-relative:page;mso-position-vertical-relative:paragraph;z-index:2680;rotation:308"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196.657852pt;margin-top:59.658714pt;width:3.45pt;height:4.7pt;mso-position-horizontal-relative:page;mso-position-vertical-relative:paragraph;z-index:2704;rotation:310"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268.407135pt;margin-top:26.979458pt;width:3.45pt;height:4.7pt;mso-position-horizontal-relative:page;mso-position-vertical-relative:paragraph;z-index:2872;rotation:322"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99.359955pt;margin-top:57.385033pt;width:3.4pt;height:4.7pt;mso-position-horizontal-relative:page;mso-position-vertical-relative:paragraph;z-index:2992;rotation:328"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202.189728pt;margin-top:55.915073pt;width:3.15pt;height:4.7pt;mso-position-horizontal-relative:page;mso-position-vertical-relative:paragraph;z-index:3040;rotation:330"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260.256683pt;margin-top:31.743166pt;width:3.4pt;height:4.7pt;mso-position-horizontal-relative:page;mso-position-vertical-relative:paragraph;z-index:3088;rotation:332"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263.2453pt;margin-top:29.669647pt;width:5.8pt;height:4.7pt;mso-position-horizontal-relative:page;mso-position-vertical-relative:paragraph;z-index:3112;rotation:333" type="#_x0000_t136" fillcolor="#000000" stroked="f">
            <o:extrusion v:ext="view" autorotationcenter="t"/>
            <v:textpath style="font-family:&amp;quot;Arial&amp;quot;;font-size:4pt;v-text-kern:t;mso-text-shadow:auto;font-weight:bold;font-style:italic" string="LV"/>
            <w10:wrap type="none"/>
          </v:shape>
        </w:pict>
      </w:r>
      <w:r>
        <w:rPr/>
        <w:pict>
          <v:shape style="position:absolute;margin-left:206.205017pt;margin-top:53.624905pt;width:3.2pt;height:4.7pt;mso-position-horizontal-relative:page;mso-position-vertical-relative:paragraph;z-index:3184;rotation:335" type="#_x0000_t136" fillcolor="#000000" stroked="f">
            <o:extrusion v:ext="view" autorotationcenter="t"/>
            <v:textpath style="font-family:&amp;quot;Arial&amp;quot;;font-size:4pt;v-text-kern:t;mso-text-shadow:auto;font-weight:bold;font-style:italic" string="P"/>
            <w10:wrap type="none"/>
          </v:shape>
        </w:pict>
      </w:r>
      <w:r>
        <w:rPr/>
        <w:pict>
          <v:shape style="position:absolute;margin-left:434.815155pt;margin-top:58.681549pt;width:15.3pt;height:4.7pt;mso-position-horizontal-relative:page;mso-position-vertical-relative:paragraph;z-index:3520;rotation:351" type="#_x0000_t136" fillcolor="#000000" stroked="f">
            <o:extrusion v:ext="view" autorotationcenter="t"/>
            <v:textpath style="font-family:&amp;quot;Arial&amp;quot;;font-size:4pt;v-text-kern:t;mso-text-shadow:auto;font-weight:bold;font-style:italic" string="NKIAN"/>
            <w10:wrap type="none"/>
          </v:shape>
        </w:pict>
      </w:r>
      <w:r>
        <w:rPr/>
        <w:pict>
          <v:shape style="position:absolute;margin-left:209.37262pt;margin-top:52.92868pt;width:3.45pt;height:4.7pt;mso-position-horizontal-relative:page;mso-position-vertical-relative:paragraph;z-index:3640;rotation:359" type="#_x0000_t136" fillcolor="#000000" stroked="f">
            <o:extrusion v:ext="view" autorotationcenter="t"/>
            <v:textpath style="font-family:&amp;quot;Arial&amp;quot;;font-size:4pt;v-text-kern:t;mso-text-shadow:auto;font-weight:bold;font-style:italic" string="K"/>
            <w10:wrap type="none"/>
          </v:shape>
        </w:pict>
      </w:r>
      <w:r>
        <w:rPr>
          <w:rFonts w:ascii="Arial"/>
          <w:b/>
          <w:w w:val="102"/>
          <w:sz w:val="16"/>
        </w:rPr>
        <w:t>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7"/>
        </w:rPr>
      </w:pPr>
    </w:p>
    <w:p>
      <w:pPr>
        <w:spacing w:line="254" w:lineRule="auto" w:before="105"/>
        <w:ind w:left="1853" w:right="9268" w:hanging="90"/>
        <w:jc w:val="left"/>
        <w:rPr>
          <w:rFonts w:ascii="Century Gothic"/>
          <w:sz w:val="12"/>
        </w:rPr>
      </w:pPr>
      <w:r>
        <w:rPr/>
        <w:pict>
          <v:shape style="position:absolute;margin-left:116.574066pt;margin-top:22.172485pt;width:3.45pt;height:4.7pt;mso-position-horizontal-relative:page;mso-position-vertical-relative:paragraph;z-index:1360;rotation:7"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20.097282pt;margin-top:22.601408pt;width:3.45pt;height:4.7pt;mso-position-horizontal-relative:page;mso-position-vertical-relative:paragraph;z-index:1384;rotation:8"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257.221283pt;margin-top:25.851995pt;width:3.45pt;height:4.7pt;mso-position-horizontal-relative:page;mso-position-vertical-relative:paragraph;z-index:1432;rotation:12"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62.601135pt;margin-top:-49.624165pt;width:7.05pt;height:4.7pt;mso-position-horizontal-relative:page;mso-position-vertical-relative:paragraph;z-index:1480;rotation:13"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231.645203pt;margin-top:22.565796pt;width:24.5pt;height:4.7pt;mso-position-horizontal-relative:page;mso-position-vertical-relative:paragraph;z-index:1504;rotation:13" type="#_x0000_t136" fillcolor="#000000" stroked="f">
            <o:extrusion v:ext="view" autorotationcenter="t"/>
            <v:textpath style="font-family:&amp;quot;Arial&amp;quot;;font-size:4pt;v-text-kern:t;mso-text-shadow:auto;font-weight:bold;font-style:italic" string="WAXPOOL"/>
            <w10:wrap type="none"/>
          </v:shape>
        </w:pict>
      </w:r>
      <w:r>
        <w:rPr/>
        <w:pict>
          <v:shape style="position:absolute;margin-left:187.653101pt;margin-top:-61.206628pt;width:11.25pt;height:4.7pt;mso-position-horizontal-relative:page;mso-position-vertical-relative:paragraph;z-index:2224;rotation:280" type="#_x0000_t136" fillcolor="#000000" stroked="f">
            <o:extrusion v:ext="view" autorotationcenter="t"/>
            <v:textpath style="font-family:&amp;quot;Arial&amp;quot;;font-size:4pt;v-text-kern:t;mso-text-shadow:auto;font-weight:bold;font-style:italic" string="CLAI"/>
            <w10:wrap type="none"/>
          </v:shape>
        </w:pict>
      </w:r>
      <w:r>
        <w:rPr/>
        <w:pict>
          <v:shape style="position:absolute;margin-left:37.744827pt;margin-top:24.926392pt;width:7.55pt;height:4.7pt;mso-position-horizontal-relative:page;mso-position-vertical-relative:paragraph;z-index:2800;rotation:320" type="#_x0000_t136" fillcolor="#000000" stroked="f">
            <o:extrusion v:ext="view" autorotationcenter="t"/>
            <v:textpath style="font-family:&amp;quot;Arial&amp;quot;;font-size:4pt;v-text-kern:t;mso-text-shadow:auto;font-weight:bold;font-style:italic" string="WA"/>
            <w10:wrap type="none"/>
          </v:shape>
        </w:pict>
      </w:r>
      <w:r>
        <w:rPr/>
        <w:pict>
          <v:shape style="position:absolute;margin-left:43.817989pt;margin-top:21.78825pt;width:2.9pt;height:4.7pt;mso-position-horizontal-relative:page;mso-position-vertical-relative:paragraph;z-index:2848;rotation:322"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46.183945pt;margin-top:20.234646pt;width:3.15pt;height:4.7pt;mso-position-horizontal-relative:page;mso-position-vertical-relative:paragraph;z-index:3136;rotation:333" type="#_x0000_t136" fillcolor="#000000" stroked="f">
            <o:extrusion v:ext="view" autorotationcenter="t"/>
            <v:textpath style="font-family:&amp;quot;Arial&amp;quot;;font-size:4pt;v-text-kern:t;mso-text-shadow:auto;font-weight:bold;font-style:italic" string="S"/>
            <w10:wrap type="none"/>
          </v:shape>
        </w:pict>
      </w:r>
      <w:r>
        <w:rPr/>
        <w:pict>
          <v:shape style="position:absolute;margin-left:48.572231pt;margin-top:15.782057pt;width:15.65pt;height:4.7pt;mso-position-horizontal-relative:page;mso-position-vertical-relative:paragraph;z-index:3160;rotation:334" type="#_x0000_t136" fillcolor="#000000" stroked="f">
            <o:extrusion v:ext="view" autorotationcenter="t"/>
            <v:textpath style="font-family:&amp;quot;Arial&amp;quot;;font-size:4pt;v-text-kern:t;mso-text-shadow:auto;font-weight:bold;font-style:italic" string="ON RD"/>
            <w10:wrap type="none"/>
          </v:shape>
        </w:pict>
      </w:r>
      <w:r>
        <w:rPr/>
        <w:pict>
          <v:shape style="position:absolute;margin-left:147.041046pt;margin-top:-47.326504pt;width:11.65pt;height:4.7pt;mso-position-horizontal-relative:page;mso-position-vertical-relative:paragraph;z-index:3208;rotation:335" type="#_x0000_t136" fillcolor="#000000" stroked="f">
            <o:extrusion v:ext="view" autorotationcenter="t"/>
            <v:textpath style="font-family:&amp;quot;Arial&amp;quot;;font-size:4pt;v-text-kern:t;mso-text-shadow:auto;font-weight:bold;font-style:italic" string="COLI"/>
            <w10:wrap type="none"/>
          </v:shape>
        </w:pict>
      </w:r>
      <w:r>
        <w:rPr/>
        <w:pict>
          <v:shape style="position:absolute;margin-left:261.122406pt;margin-top:25.843678pt;width:3.45pt;height:4.7pt;mso-position-horizontal-relative:page;mso-position-vertical-relative:paragraph;z-index:3376;rotation:346"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06.94516pt;margin-top:22.965719pt;width:8.65pt;height:4.7pt;mso-position-horizontal-relative:page;mso-position-vertical-relative:paragraph;z-index:3400;rotation:348" type="#_x0000_t136" fillcolor="#000000" stroked="f">
            <o:extrusion v:ext="view" autorotationcenter="t"/>
            <v:textpath style="font-family:&amp;quot;Arial&amp;quot;;font-size:4pt;v-text-kern:t;mso-text-shadow:auto;font-weight:bold;font-style:italic" string="OIR"/>
            <w10:wrap type="none"/>
          </v:shape>
        </w:pict>
      </w:r>
      <w:r>
        <w:rPr/>
        <w:pict>
          <v:shape style="position:absolute;margin-left:158.083008pt;margin-top:-49.978832pt;width:3.45pt;height:4.7pt;mso-position-horizontal-relative:page;mso-position-vertical-relative:paragraph;z-index:3424;rotation:349"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103.582901pt;margin-top:24.38582pt;width:3.15pt;height:4.7pt;mso-position-horizontal-relative:page;mso-position-vertical-relative:paragraph;z-index:3448;rotation:349" type="#_x0000_t136" fillcolor="#000000" stroked="f">
            <o:extrusion v:ext="view" autorotationcenter="t"/>
            <v:textpath style="font-family:&amp;quot;Arial&amp;quot;;font-size:4pt;v-text-kern:t;mso-text-shadow:auto;font-weight:bold;font-style:italic" string="V"/>
            <w10:wrap type="none"/>
          </v:shape>
        </w:pict>
      </w:r>
      <w:r>
        <w:rPr/>
        <w:pict>
          <v:shape style="position:absolute;margin-left:144.064423pt;margin-top:-44.493908pt;width:3.2pt;height:4.7pt;mso-position-horizontal-relative:page;mso-position-vertical-relative:paragraph;z-index:3472;rotation:350"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140.998154pt;margin-top:-43.689373pt;width:3.2pt;height:4.7pt;mso-position-horizontal-relative:page;mso-position-vertical-relative:paragraph;z-index:3496;rotation:351" type="#_x0000_t136" fillcolor="#000000" stroked="f">
            <o:extrusion v:ext="view" autorotationcenter="t"/>
            <v:textpath style="font-family:&amp;quot;Arial&amp;quot;;font-size:4pt;v-text-kern:t;mso-text-shadow:auto;font-weight:bold;font-style:italic" string="S"/>
            <w10:wrap type="none"/>
          </v:shape>
        </w:pict>
      </w:r>
      <w:r>
        <w:rPr/>
        <w:pict>
          <v:shape style="position:absolute;margin-left:86.890923pt;margin-top:25.571117pt;width:3.45pt;height:4.7pt;mso-position-horizontal-relative:page;mso-position-vertical-relative:paragraph;z-index:3544;rotation:351"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90.562004pt;margin-top:24.947361pt;width:13.2pt;height:4.7pt;mso-position-horizontal-relative:page;mso-position-vertical-relative:paragraph;z-index:3616;rotation:357" type="#_x0000_t136" fillcolor="#000000" stroked="f">
            <o:extrusion v:ext="view" autorotationcenter="t"/>
            <v:textpath style="font-family:&amp;quot;Arial&amp;quot;;font-size:4pt;v-text-kern:t;mso-text-shadow:auto;font-weight:bold;font-style:italic" string="ESER"/>
            <w10:wrap type="none"/>
          </v:shape>
        </w:pict>
      </w:r>
      <w:r>
        <w:rPr>
          <w:rFonts w:ascii="Century Gothic"/>
          <w:color w:val="006FFF"/>
          <w:sz w:val="12"/>
        </w:rPr>
        <w:t>Beaverdam </w:t>
      </w:r>
      <w:r>
        <w:rPr>
          <w:rFonts w:ascii="Century Gothic"/>
          <w:color w:val="006FFF"/>
          <w:w w:val="105"/>
          <w:sz w:val="12"/>
        </w:rPr>
        <w:t>Reservoir</w:t>
      </w:r>
    </w:p>
    <w:p>
      <w:pPr>
        <w:pStyle w:val="BodyText"/>
        <w:spacing w:before="1"/>
        <w:rPr>
          <w:rFonts w:ascii="Century Gothic"/>
          <w:sz w:val="12"/>
        </w:rPr>
      </w:pPr>
    </w:p>
    <w:p>
      <w:pPr>
        <w:spacing w:before="98"/>
        <w:ind w:left="6873" w:right="5148" w:firstLine="0"/>
        <w:jc w:val="center"/>
        <w:rPr>
          <w:rFonts w:ascii="Arial"/>
          <w:b/>
          <w:sz w:val="16"/>
        </w:rPr>
      </w:pPr>
      <w:r>
        <w:rPr/>
        <w:pict>
          <v:shape style="position:absolute;margin-left:418.147821pt;margin-top:8.276509pt;width:18pt;height:4.7pt;mso-position-horizontal-relative:page;mso-position-vertical-relative:paragraph;z-index:2536;rotation:304" type="#_x0000_t136" fillcolor="#000000" stroked="f">
            <o:extrusion v:ext="view" autorotationcenter="t"/>
            <v:textpath style="font-family:&amp;quot;Arial&amp;quot;;font-size:4pt;v-text-kern:t;mso-text-shadow:auto;font-weight:bold;font-style:italic" string="G BLVD"/>
            <w10:wrap type="none"/>
          </v:shape>
        </w:pict>
      </w:r>
      <w:r>
        <w:rPr/>
        <w:pict>
          <v:shape style="position:absolute;margin-left:419.214728pt;margin-top:17.07986pt;width:3.4pt;height:4.7pt;mso-position-horizontal-relative:page;mso-position-vertical-relative:paragraph;z-index:2584;rotation:306" type="#_x0000_t136" fillcolor="#000000" stroked="f">
            <o:extrusion v:ext="view" autorotationcenter="t"/>
            <v:textpath style="font-family:&amp;quot;Arial&amp;quot;;font-size:4pt;v-text-kern:t;mso-text-shadow:auto;font-weight:bold;font-style:italic" string="N"/>
            <w10:wrap type="none"/>
          </v:shape>
        </w:pict>
      </w:r>
      <w:r>
        <w:rPr>
          <w:rFonts w:ascii="Arial"/>
          <w:b/>
          <w:sz w:val="16"/>
        </w:rPr>
        <w:t>28</w:t>
      </w:r>
    </w:p>
    <w:p>
      <w:pPr>
        <w:pStyle w:val="BodyText"/>
        <w:spacing w:before="3"/>
        <w:rPr>
          <w:rFonts w:ascii="Arial"/>
          <w:b/>
          <w:sz w:val="28"/>
        </w:rPr>
      </w:pPr>
    </w:p>
    <w:p>
      <w:pPr>
        <w:spacing w:before="103"/>
        <w:ind w:left="727" w:right="3111" w:firstLine="0"/>
        <w:jc w:val="center"/>
        <w:rPr>
          <w:rFonts w:ascii="Arial"/>
          <w:b/>
          <w:sz w:val="14"/>
        </w:rPr>
      </w:pPr>
      <w:r>
        <w:rPr/>
        <w:pict>
          <v:shape style="position:absolute;margin-left:183.081879pt;margin-top:31.659248pt;width:14.05pt;height:7.3pt;mso-position-horizontal-relative:page;mso-position-vertical-relative:paragraph;z-index:1264" type="#_x0000_t202" filled="false" stroked="false">
            <v:textbox inset="0,0,0,0">
              <w:txbxContent>
                <w:p>
                  <w:pPr>
                    <w:spacing w:before="21"/>
                    <w:ind w:left="20" w:right="0" w:firstLine="0"/>
                    <w:jc w:val="left"/>
                    <w:rPr>
                      <w:rFonts w:ascii="Arial"/>
                      <w:b/>
                      <w:i/>
                      <w:sz w:val="9"/>
                    </w:rPr>
                  </w:pPr>
                  <w:r>
                    <w:rPr>
                      <w:rFonts w:ascii="Arial"/>
                      <w:b/>
                      <w:i/>
                      <w:w w:val="105"/>
                      <w:sz w:val="9"/>
                    </w:rPr>
                    <w:t>N RD</w:t>
                  </w:r>
                </w:p>
              </w:txbxContent>
            </v:textbox>
            <w10:wrap type="none"/>
          </v:shape>
        </w:pict>
      </w:r>
      <w:r>
        <w:rPr/>
        <w:pict>
          <v:shape style="position:absolute;margin-left:336.596191pt;margin-top:57.112026pt;width:26.85pt;height:4.7pt;mso-position-horizontal-relative:page;mso-position-vertical-relative:paragraph;z-index:1312;rotation:2" type="#_x0000_t136" fillcolor="#000000" stroked="f">
            <o:extrusion v:ext="view" autorotationcenter="t"/>
            <v:textpath style="font-family:&amp;quot;Arial&amp;quot;;font-size:4pt;v-text-kern:t;mso-text-shadow:auto;font-weight:bold;font-style:italic" string="OLD OX RD"/>
            <w10:wrap type="none"/>
          </v:shape>
        </w:pict>
      </w:r>
      <w:r>
        <w:rPr/>
        <w:pict>
          <v:shape style="position:absolute;margin-left:71.933228pt;margin-top:61.843761pt;width:3.45pt;height:4.7pt;mso-position-horizontal-relative:page;mso-position-vertical-relative:paragraph;z-index:1528;rotation:13"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75.481743pt;margin-top:62.68626pt;width:3.45pt;height:4.7pt;mso-position-horizontal-relative:page;mso-position-vertical-relative:paragraph;z-index:1552;rotation:15"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26.119501pt;margin-top:40.629908pt;width:11pt;height:4.7pt;mso-position-horizontal-relative:page;mso-position-vertical-relative:paragraph;z-index:2392;rotation:291" type="#_x0000_t136" fillcolor="#000000" stroked="f">
            <o:extrusion v:ext="view" autorotationcenter="t"/>
            <v:textpath style="font-family:&amp;quot;Arial&amp;quot;;font-size:4pt;v-text-kern:t;mso-text-shadow:auto;font-weight:bold;font-style:italic" string="NOR"/>
            <w10:wrap type="none"/>
          </v:shape>
        </w:pict>
      </w:r>
      <w:r>
        <w:rPr/>
        <w:pict>
          <v:shape style="position:absolute;margin-left:75.38369pt;margin-top:71.712982pt;width:3.45pt;height:4.7pt;mso-position-horizontal-relative:page;mso-position-vertical-relative:paragraph;z-index:2440;rotation:295"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32.457846pt;margin-top:34.540506pt;width:2.9pt;height:4.7pt;mso-position-horizontal-relative:page;mso-position-vertical-relative:paragraph;z-index:2464;rotation:297"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127.020871pt;margin-top:19.684421pt;width:30.6pt;height:4.7pt;mso-position-horizontal-relative:page;mso-position-vertical-relative:paragraph;z-index:2488;rotation:300" type="#_x0000_t136" fillcolor="#000000" stroked="f">
            <o:extrusion v:ext="view" autorotationcenter="t"/>
            <v:textpath style="font-family:&amp;quot;Arial&amp;quot;;font-size:4pt;v-text-kern:t;mso-text-shadow:auto;font-weight:bold;font-style:italic" string="HSTAR BLVD"/>
            <w10:wrap type="none"/>
          </v:shape>
        </w:pict>
      </w:r>
      <w:r>
        <w:rPr/>
        <w:pict>
          <v:shape style="position:absolute;margin-left:192.627988pt;margin-top:32.820996pt;width:23.1pt;height:4.7pt;mso-position-horizontal-relative:page;mso-position-vertical-relative:paragraph;z-index:2728;rotation:310" type="#_x0000_t136" fillcolor="#000000" stroked="f">
            <o:extrusion v:ext="view" autorotationcenter="t"/>
            <v:textpath style="font-family:&amp;quot;Arial&amp;quot;;font-size:4pt;v-text-kern:t;mso-text-shadow:auto;font-weight:bold;font-style:italic" string="OUN COU"/>
            <w10:wrap type="none"/>
          </v:shape>
        </w:pict>
      </w:r>
      <w:r>
        <w:rPr/>
        <w:pict>
          <v:shape style="position:absolute;margin-left:401.664319pt;margin-top:-3.342229pt;width:22.35pt;height:4.7pt;mso-position-horizontal-relative:page;mso-position-vertical-relative:paragraph;z-index:2752;rotation:311" type="#_x0000_t136" fillcolor="#000000" stroked="f">
            <o:extrusion v:ext="view" autorotationcenter="t"/>
            <v:textpath style="font-family:&amp;quot;Arial&amp;quot;;font-size:4pt;v-text-kern:t;mso-text-shadow:auto;font-weight:bold;font-style:italic" string="N STERLI"/>
            <w10:wrap type="none"/>
          </v:shape>
        </w:pict>
      </w:r>
      <w:r>
        <w:rPr/>
        <w:pict>
          <v:shape style="position:absolute;margin-left:194.120255pt;margin-top:42.772022pt;width:3.45pt;height:4.7pt;mso-position-horizontal-relative:page;mso-position-vertical-relative:paragraph;z-index:2776;rotation:315"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211.153702pt;margin-top:22.553528pt;width:3.45pt;height:4.7pt;mso-position-horizontal-relative:page;mso-position-vertical-relative:paragraph;z-index:2896;rotation:322"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191.394562pt;margin-top:45.144756pt;width:3.5pt;height:4.7pt;mso-position-horizontal-relative:page;mso-position-vertical-relative:paragraph;z-index:2944;rotation:325" type="#_x0000_t136" fillcolor="#000000" stroked="f">
            <o:extrusion v:ext="view" autorotationcenter="t"/>
            <v:textpath style="font-family:&amp;quot;Arial&amp;quot;;font-size:4pt;v-text-kern:t;mso-text-shadow:auto;font-weight:bold;font-style:italic" string="U"/>
            <w10:wrap type="none"/>
          </v:shape>
        </w:pict>
      </w:r>
      <w:r>
        <w:rPr/>
        <w:pict>
          <v:shape style="position:absolute;margin-left:378.030884pt;margin-top:18.889320pt;width:6.85pt;height:4.7pt;mso-position-horizontal-relative:page;mso-position-vertical-relative:paragraph;z-index:2968;rotation:327" type="#_x0000_t136" fillcolor="#000000" stroked="f">
            <o:extrusion v:ext="view" autorotationcenter="t"/>
            <v:textpath style="font-family:&amp;quot;Arial&amp;quot;;font-size:4pt;v-text-kern:t;mso-text-shadow:auto;font-weight:bold;font-style:italic" string="VD"/>
            <w10:wrap type="none"/>
          </v:shape>
        </w:pict>
      </w:r>
      <w:r>
        <w:rPr/>
        <w:pict>
          <v:shape style="position:absolute;margin-left:376.164642pt;margin-top:21.578129pt;width:2.9pt;height:4.7pt;mso-position-horizontal-relative:page;mso-position-vertical-relative:paragraph;z-index:3016;rotation:329"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344.666809pt;margin-top:33.975269pt;width:3.15pt;height:4.7pt;mso-position-horizontal-relative:page;mso-position-vertical-relative:paragraph;z-index:3064;rotation:330" type="#_x0000_t136" fillcolor="#000000" stroked="f">
            <o:extrusion v:ext="view" autorotationcenter="t"/>
            <v:textpath style="font-family:&amp;quot;Arial&amp;quot;;font-size:4pt;v-text-kern:t;mso-text-shadow:auto;font-weight:bold;font-style:italic" string="S"/>
            <w10:wrap type="none"/>
          </v:shape>
        </w:pict>
      </w:r>
      <w:r>
        <w:rPr/>
        <w:pict>
          <v:shape style="position:absolute;margin-left:363.553955pt;margin-top:25.021484pt;width:13.55pt;height:4.7pt;mso-position-horizontal-relative:page;mso-position-vertical-relative:paragraph;z-index:3232;rotation:336" type="#_x0000_t136" fillcolor="#000000" stroked="f">
            <o:extrusion v:ext="view" autorotationcenter="t"/>
            <v:textpath style="font-family:&amp;quot;Arial&amp;quot;;font-size:4pt;v-text-kern:t;mso-text-shadow:auto;font-weight:bold;font-style:italic" string="ING B"/>
            <w10:wrap type="none"/>
          </v:shape>
        </w:pict>
      </w:r>
      <w:r>
        <w:rPr/>
        <w:pict>
          <v:shape style="position:absolute;margin-left:361.301605pt;margin-top:28.278261pt;width:2.9pt;height:4.7pt;mso-position-horizontal-relative:page;mso-position-vertical-relative:paragraph;z-index:3256;rotation:338"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185.2173pt;margin-top:47.411552pt;width:6.65pt;height:4.7pt;mso-position-horizontal-relative:page;mso-position-vertical-relative:paragraph;z-index:3280;rotation:339" type="#_x0000_t136" fillcolor="#000000" stroked="f">
            <o:extrusion v:ext="view" autorotationcenter="t"/>
            <v:textpath style="font-family:&amp;quot;Arial&amp;quot;;font-size:4pt;v-text-kern:t;mso-text-shadow:auto;font-weight:bold;font-style:italic" string="LO"/>
            <w10:wrap type="none"/>
          </v:shape>
        </w:pict>
      </w:r>
      <w:r>
        <w:rPr/>
        <w:pict>
          <v:shape style="position:absolute;margin-left:214.293427pt;margin-top:20.938391pt;width:2.9pt;height:4.7pt;mso-position-horizontal-relative:page;mso-position-vertical-relative:paragraph;z-index:3304;rotation:342"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348.739594pt;margin-top:30.991535pt;width:12.9pt;height:4.7pt;mso-position-horizontal-relative:page;mso-position-vertical-relative:paragraph;z-index:3328;rotation:343" type="#_x0000_t136" fillcolor="#000000" stroked="f">
            <o:extrusion v:ext="view" autorotationcenter="t"/>
            <v:textpath style="font-family:&amp;quot;Arial&amp;quot;;font-size:4pt;v-text-kern:t;mso-text-shadow:auto;font-weight:bold;font-style:italic" string="STER"/>
            <w10:wrap type="none"/>
          </v:shape>
        </w:pict>
      </w:r>
      <w:r>
        <w:rPr/>
        <w:pict>
          <v:shape style="position:absolute;margin-left:217.042038pt;margin-top:20.144697pt;width:3.2pt;height:4.7pt;mso-position-horizontal-relative:page;mso-position-vertical-relative:paragraph;z-index:3352;rotation:344"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221.137177pt;margin-top:18.265139pt;width:14.6pt;height:4.7pt;mso-position-horizontal-relative:page;mso-position-vertical-relative:paragraph;z-index:3568;rotation:352" type="#_x0000_t136" fillcolor="#000000" stroked="f">
            <o:extrusion v:ext="view" autorotationcenter="t"/>
            <v:textpath style="font-family:&amp;quot;Arial&amp;quot;;font-size:4pt;v-text-kern:t;mso-text-shadow:auto;font-weight:bold;font-style:italic" string="PKWY"/>
            <w10:wrap type="none"/>
          </v:shape>
        </w:pict>
      </w:r>
      <w:r>
        <w:rPr/>
        <w:pict>
          <v:shape style="position:absolute;margin-left:174.600281pt;margin-top:33.409763pt;width:6.3pt;height:4.7pt;mso-position-horizontal-relative:page;mso-position-vertical-relative:paragraph;z-index:3592;rotation:354" type="#_x0000_t136" fillcolor="#000000" stroked="f">
            <o:extrusion v:ext="view" autorotationcenter="t"/>
            <v:textpath style="font-family:&amp;quot;Arial&amp;quot;;font-size:4pt;v-text-kern:t;mso-text-shadow:auto;font-weight:bold;font-style:italic" string="RY"/>
            <w10:wrap type="none"/>
          </v:shape>
        </w:pict>
      </w:r>
      <w:r>
        <w:rPr/>
        <w:pict>
          <v:shape style="position:absolute;margin-left:180.541779pt;margin-top:33.316525pt;width:3.5pt;height:4.7pt;mso-position-horizontal-relative:page;mso-position-vertical-relative:paragraph;z-index:3664;rotation:359" type="#_x0000_t136" fillcolor="#000000" stroked="f">
            <o:extrusion v:ext="view" autorotationcenter="t"/>
            <v:textpath style="font-family:&amp;quot;Arial&amp;quot;;font-size:4pt;v-text-kern:t;mso-text-shadow:auto;font-weight:bold;font-style:italic" string="A"/>
            <w10:wrap type="none"/>
          </v:shape>
        </w:pict>
      </w:r>
      <w:r>
        <w:rPr/>
        <w:pict>
          <v:shape style="position:absolute;margin-left:43.501263pt;margin-top:62.093475pt;width:27.25pt;height:4.7pt;mso-position-horizontal-relative:page;mso-position-vertical-relative:paragraph;z-index:3688;rotation:359" type="#_x0000_t136" fillcolor="#000000" stroked="f">
            <o:extrusion v:ext="view" autorotationcenter="t"/>
            <v:textpath style="font-family:&amp;quot;Arial&amp;quot;;font-size:4pt;v-text-kern:t;mso-text-shadow:auto;font-weight:bold;font-style:italic" string="EVERFIELD"/>
            <w10:wrap type="none"/>
          </v:shape>
        </w:pict>
      </w:r>
      <w:r>
        <w:rPr>
          <w:rFonts w:ascii="Arial"/>
          <w:b/>
          <w:w w:val="105"/>
          <w:sz w:val="14"/>
        </w:rPr>
        <w:t>267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5"/>
        </w:rPr>
      </w:pPr>
    </w:p>
    <w:p>
      <w:pPr>
        <w:spacing w:before="103"/>
        <w:ind w:left="1121" w:right="0" w:firstLine="0"/>
        <w:jc w:val="left"/>
        <w:rPr>
          <w:rFonts w:ascii="Arial"/>
          <w:b/>
          <w:sz w:val="14"/>
        </w:rPr>
      </w:pPr>
      <w:r>
        <w:rPr/>
        <w:pict>
          <v:shape style="position:absolute;margin-left:145.001358pt;margin-top:3.55767pt;width:17.05pt;height:4.7pt;mso-position-horizontal-relative:page;mso-position-vertical-relative:paragraph;z-index:1624;rotation:27" type="#_x0000_t136" fillcolor="#000000" stroked="f">
            <o:extrusion v:ext="view" autorotationcenter="t"/>
            <v:textpath style="font-family:&amp;quot;Arial&amp;quot;;font-size:4pt;v-text-kern:t;mso-text-shadow:auto;font-weight:bold;font-style:italic" string="GREEN"/>
            <w10:wrap type="none"/>
          </v:shape>
        </w:pict>
      </w:r>
      <w:r>
        <w:rPr/>
        <w:pict>
          <v:shape style="position:absolute;margin-left:162.098633pt;margin-top:9.223087pt;width:3.95pt;height:4.7pt;mso-position-horizontal-relative:page;mso-position-vertical-relative:paragraph;z-index:1648;rotation:29" type="#_x0000_t136" fillcolor="#000000" stroked="f">
            <o:extrusion v:ext="view" autorotationcenter="t"/>
            <v:textpath style="font-family:&amp;quot;Arial&amp;quot;;font-size:4pt;v-text-kern:t;mso-text-shadow:auto;font-weight:bold;font-style:italic" string="M"/>
            <w10:wrap type="none"/>
          </v:shape>
        </w:pict>
      </w:r>
      <w:r>
        <w:rPr/>
        <w:pict>
          <v:shape style="position:absolute;margin-left:172.261108pt;margin-top:21.799574pt;width:7pt;height:4.7pt;mso-position-horizontal-relative:page;mso-position-vertical-relative:paragraph;z-index:1696;rotation:35"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142.719742pt;margin-top:-1.645763pt;width:3.45pt;height:4.7pt;mso-position-horizontal-relative:page;mso-position-vertical-relative:paragraph;z-index:1744;rotation:42"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65.586075pt;margin-top:10.523416pt;width:1.4pt;height:4.7pt;mso-position-horizontal-relative:page;mso-position-vertical-relative:paragraph;z-index:1768;rotation:43" type="#_x0000_t136" fillcolor="#000000" stroked="f">
            <o:extrusion v:ext="view" autorotationcenter="t"/>
            <v:textpath style="font-family:&amp;quot;Arial&amp;quot;;font-size:4pt;v-text-kern:t;mso-text-shadow:auto;font-weight:bold;font-style:italic" string="I"/>
            <w10:wrap type="none"/>
          </v:shape>
        </w:pict>
      </w:r>
      <w:r>
        <w:rPr/>
        <w:pict>
          <v:shape style="position:absolute;margin-left:134.956418pt;margin-top:-6.425526pt;width:9.85pt;height:4.7pt;mso-position-horizontal-relative:page;mso-position-vertical-relative:paragraph;z-index:1792;rotation:46" type="#_x0000_t136" fillcolor="#000000" stroked="f">
            <o:extrusion v:ext="view" autorotationcenter="t"/>
            <v:textpath style="font-family:&amp;quot;Arial&amp;quot;;font-size:4pt;v-text-kern:t;mso-text-shadow:auto;font-weight:bold;font-style:italic" string="EVE"/>
            <w10:wrap type="none"/>
          </v:shape>
        </w:pict>
      </w:r>
      <w:r>
        <w:rPr/>
        <w:pict>
          <v:shape style="position:absolute;margin-left:166.139938pt;margin-top:12.257414pt;width:2.95pt;height:4.7pt;mso-position-horizontal-relative:page;mso-position-vertical-relative:paragraph;z-index:1816;rotation:54"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167.259845pt;margin-top:16.083148pt;width:6.3pt;height:4.7pt;mso-position-horizontal-relative:page;mso-position-vertical-relative:paragraph;z-index:1840;rotation:55" type="#_x0000_t136" fillcolor="#000000" stroked="f">
            <o:extrusion v:ext="view" autorotationcenter="t"/>
            <v:textpath style="font-family:&amp;quot;Arial&amp;quot;;font-size:4pt;v-text-kern:t;mso-text-shadow:auto;font-weight:bold;font-style:italic" string="LS"/>
            <w10:wrap type="none"/>
          </v:shape>
        </w:pict>
      </w:r>
      <w:r>
        <w:rPr/>
        <w:pict>
          <v:shape style="position:absolute;margin-left:63.008078pt;margin-top:-30.687197pt;width:15.4pt;height:4.7pt;mso-position-horizontal-relative:page;mso-position-vertical-relative:paragraph;z-index:2152;rotation:272" type="#_x0000_t136" fillcolor="#000000" stroked="f">
            <o:extrusion v:ext="view" autorotationcenter="t"/>
            <v:textpath style="font-family:&amp;quot;Arial&amp;quot;;font-size:4pt;v-text-kern:t;mso-text-shadow:auto;font-weight:bold;font-style:italic" string="FLEET"/>
            <w10:wrap type="none"/>
          </v:shape>
        </w:pict>
      </w:r>
      <w:r>
        <w:rPr/>
        <w:pict>
          <v:shape style="position:absolute;margin-left:69.108856pt;margin-top:-40.692299pt;width:4.45pt;height:4.7pt;mso-position-horizontal-relative:page;mso-position-vertical-relative:paragraph;z-index:2272;rotation:283" type="#_x0000_t136" fillcolor="#000000" stroked="f">
            <o:extrusion v:ext="view" autorotationcenter="t"/>
            <v:textpath style="font-family:&amp;quot;Arial&amp;quot;;font-size:4pt;v-text-kern:t;mso-text-shadow:auto;font-weight:bold;font-style:italic" string="W"/>
            <w10:wrap type="none"/>
          </v:shape>
        </w:pict>
      </w:r>
      <w:r>
        <w:rPr/>
        <w:pict>
          <v:shape style="position:absolute;margin-left:66.245135pt;margin-top:-50.589389pt;width:16.05pt;height:4.7pt;mso-position-horizontal-relative:page;mso-position-vertical-relative:paragraph;z-index:2344;rotation:288" type="#_x0000_t136" fillcolor="#000000" stroked="f">
            <o:extrusion v:ext="view" autorotationcenter="t"/>
            <v:textpath style="font-family:&amp;quot;Arial&amp;quot;;font-size:4pt;v-text-kern:t;mso-text-shadow:auto;font-weight:bold;font-style:italic" string="OOD R"/>
            <w10:wrap type="none"/>
          </v:shape>
        </w:pict>
      </w:r>
      <w:r>
        <w:rPr>
          <w:rFonts w:ascii="Arial"/>
          <w:b/>
          <w:w w:val="105"/>
          <w:sz w:val="14"/>
        </w:rPr>
        <w:t>50</w:t>
      </w:r>
    </w:p>
    <w:p>
      <w:pPr>
        <w:pStyle w:val="BodyText"/>
        <w:spacing w:before="8"/>
        <w:rPr>
          <w:rFonts w:ascii="Arial"/>
          <w:b/>
          <w:sz w:val="28"/>
        </w:rPr>
      </w:pPr>
    </w:p>
    <w:p>
      <w:pPr>
        <w:spacing w:after="0"/>
        <w:rPr>
          <w:rFonts w:ascii="Arial"/>
          <w:sz w:val="28"/>
        </w:rPr>
        <w:sectPr>
          <w:headerReference w:type="default" r:id="rId15"/>
          <w:footerReference w:type="default" r:id="rId16"/>
          <w:pgSz w:w="12240" w:h="15840"/>
          <w:pgMar w:header="0" w:footer="443" w:top="0" w:bottom="640" w:left="0" w:right="0"/>
          <w:pgNumType w:start="38"/>
        </w:sectPr>
      </w:pPr>
    </w:p>
    <w:p>
      <w:pPr>
        <w:spacing w:line="256" w:lineRule="auto" w:before="103"/>
        <w:ind w:left="4079" w:right="0" w:firstLine="70"/>
        <w:jc w:val="left"/>
        <w:rPr>
          <w:rFonts w:ascii="Century Gothic"/>
          <w:sz w:val="16"/>
        </w:rPr>
      </w:pPr>
      <w:r>
        <w:rPr/>
        <w:pict>
          <v:shape style="position:absolute;margin-left:110.473413pt;margin-top:55.264841pt;width:15.75pt;height:4.7pt;mso-position-horizontal-relative:page;mso-position-vertical-relative:paragraph;z-index:2200;rotation:278" type="#_x0000_t136" fillcolor="#000000" stroked="f">
            <o:extrusion v:ext="view" autorotationcenter="t"/>
            <v:textpath style="font-family:&amp;quot;Arial&amp;quot;;font-size:4pt;v-text-kern:t;mso-text-shadow:auto;font-weight:bold;font-style:italic" string="GUM S"/>
            <w10:wrap type="none"/>
          </v:shape>
        </w:pict>
      </w:r>
      <w:r>
        <w:rPr/>
        <w:pict>
          <v:shape style="position:absolute;margin-left:118.179253pt;margin-top:45.479538pt;width:3.2pt;height:4.7pt;mso-position-horizontal-relative:page;mso-position-vertical-relative:paragraph;z-index:2248;rotation:281" type="#_x0000_t136" fillcolor="#000000" stroked="f">
            <o:extrusion v:ext="view" autorotationcenter="t"/>
            <v:textpath style="font-family:&amp;quot;Arial&amp;quot;;font-size:4pt;v-text-kern:t;mso-text-shadow:auto;font-weight:bold;font-style:italic" string="P"/>
            <w10:wrap type="none"/>
          </v:shape>
        </w:pict>
      </w:r>
      <w:r>
        <w:rPr/>
        <w:pict>
          <v:shape style="position:absolute;margin-left:113.784238pt;margin-top:34.622930pt;width:20.350pt;height:4.7pt;mso-position-horizontal-relative:page;mso-position-vertical-relative:paragraph;z-index:2416;rotation:293" type="#_x0000_t136" fillcolor="#000000" stroked="f">
            <o:extrusion v:ext="view" autorotationcenter="t"/>
            <v:textpath style="font-family:&amp;quot;Arial&amp;quot;;font-size:4pt;v-text-kern:t;mso-text-shadow:auto;font-weight:bold;font-style:italic" string="RING RD"/>
            <w10:wrap type="none"/>
          </v:shape>
        </w:pict>
      </w:r>
      <w:r>
        <w:rPr>
          <w:rFonts w:ascii="Century Gothic"/>
          <w:sz w:val="16"/>
        </w:rPr>
        <w:t>Washington Dulles International Airport</w:t>
      </w:r>
    </w:p>
    <w:p>
      <w:pPr>
        <w:spacing w:before="170"/>
        <w:ind w:left="2653" w:right="0" w:firstLine="0"/>
        <w:jc w:val="left"/>
        <w:rPr>
          <w:rFonts w:ascii="Arial"/>
          <w:sz w:val="18"/>
        </w:rPr>
      </w:pPr>
      <w:r>
        <w:rPr/>
        <w:br w:type="column"/>
      </w:r>
      <w:r>
        <w:rPr>
          <w:rFonts w:ascii="Arial"/>
          <w:sz w:val="18"/>
        </w:rPr>
        <w:t>Policy Areas</w:t>
      </w:r>
    </w:p>
    <w:p>
      <w:pPr>
        <w:spacing w:line="288" w:lineRule="auto" w:before="43"/>
        <w:ind w:left="2653" w:right="2276" w:firstLine="0"/>
        <w:jc w:val="left"/>
        <w:rPr>
          <w:rFonts w:ascii="Arial"/>
          <w:sz w:val="18"/>
        </w:rPr>
      </w:pPr>
      <w:r>
        <w:rPr>
          <w:rFonts w:ascii="Arial"/>
          <w:sz w:val="18"/>
        </w:rPr>
        <w:t>Parks &amp; Recreation Airport</w:t>
      </w:r>
    </w:p>
    <w:p>
      <w:pPr>
        <w:spacing w:line="297" w:lineRule="auto" w:before="1"/>
        <w:ind w:left="2653" w:right="1495" w:firstLine="0"/>
        <w:jc w:val="left"/>
        <w:rPr>
          <w:rFonts w:ascii="Arial"/>
          <w:sz w:val="18"/>
        </w:rPr>
      </w:pPr>
      <w:r>
        <w:rPr>
          <w:rFonts w:ascii="Arial"/>
          <w:sz w:val="18"/>
        </w:rPr>
        <w:t>Extended Runway Centerline Airport Runways</w:t>
      </w:r>
    </w:p>
    <w:p>
      <w:pPr>
        <w:spacing w:line="200" w:lineRule="exact" w:before="0"/>
        <w:ind w:left="2357" w:right="0" w:firstLine="0"/>
        <w:jc w:val="left"/>
        <w:rPr>
          <w:rFonts w:ascii="Arial"/>
          <w:b/>
          <w:sz w:val="18"/>
        </w:rPr>
      </w:pPr>
      <w:r>
        <w:rPr>
          <w:rFonts w:ascii="Arial"/>
          <w:b/>
          <w:sz w:val="18"/>
        </w:rPr>
        <w:t>Place Types</w:t>
      </w:r>
    </w:p>
    <w:p>
      <w:pPr>
        <w:spacing w:line="288" w:lineRule="auto" w:before="42"/>
        <w:ind w:left="2653" w:right="1104" w:firstLine="0"/>
        <w:jc w:val="left"/>
        <w:rPr>
          <w:rFonts w:ascii="Arial"/>
          <w:sz w:val="18"/>
        </w:rPr>
      </w:pPr>
      <w:r>
        <w:rPr>
          <w:rFonts w:ascii="Arial"/>
          <w:sz w:val="18"/>
        </w:rPr>
        <w:t>Suburban Neighborhood Suburban Compact Neighborhood Suburban Mixed Use</w:t>
      </w:r>
    </w:p>
    <w:p>
      <w:pPr>
        <w:spacing w:before="2"/>
        <w:ind w:left="2653" w:right="0" w:firstLine="0"/>
        <w:jc w:val="left"/>
        <w:rPr>
          <w:rFonts w:ascii="Arial"/>
          <w:sz w:val="18"/>
        </w:rPr>
      </w:pPr>
      <w:r>
        <w:rPr>
          <w:rFonts w:ascii="Arial"/>
          <w:sz w:val="18"/>
        </w:rPr>
        <w:t>Suburban Employment</w:t>
      </w:r>
    </w:p>
    <w:p>
      <w:pPr>
        <w:spacing w:before="42"/>
        <w:ind w:left="2653" w:right="0" w:firstLine="0"/>
        <w:jc w:val="left"/>
        <w:rPr>
          <w:rFonts w:ascii="Arial"/>
          <w:sz w:val="18"/>
        </w:rPr>
      </w:pPr>
      <w:r>
        <w:rPr>
          <w:rFonts w:ascii="Arial"/>
          <w:sz w:val="18"/>
        </w:rPr>
        <w:t>Suburban Industrial/Mineral Extraction</w:t>
      </w:r>
    </w:p>
    <w:p>
      <w:pPr>
        <w:spacing w:after="0"/>
        <w:jc w:val="left"/>
        <w:rPr>
          <w:rFonts w:ascii="Arial"/>
          <w:sz w:val="18"/>
        </w:rPr>
        <w:sectPr>
          <w:type w:val="continuous"/>
          <w:pgSz w:w="12240" w:h="15840"/>
          <w:pgMar w:top="920" w:bottom="640" w:left="0" w:right="0"/>
          <w:cols w:num="2" w:equalWidth="0">
            <w:col w:w="5700" w:space="40"/>
            <w:col w:w="6500"/>
          </w:cols>
        </w:sectPr>
      </w:pPr>
    </w:p>
    <w:p>
      <w:pPr>
        <w:pStyle w:val="BodyText"/>
        <w:spacing w:before="5"/>
        <w:rPr>
          <w:rFonts w:ascii="Arial"/>
          <w:sz w:val="10"/>
        </w:rPr>
      </w:pPr>
    </w:p>
    <w:p>
      <w:pPr>
        <w:spacing w:after="0"/>
        <w:rPr>
          <w:rFonts w:ascii="Arial"/>
          <w:sz w:val="10"/>
        </w:rPr>
        <w:sectPr>
          <w:type w:val="continuous"/>
          <w:pgSz w:w="12240" w:h="15840"/>
          <w:pgMar w:top="920" w:bottom="640" w:left="0" w:right="0"/>
        </w:sectPr>
      </w:pPr>
    </w:p>
    <w:p>
      <w:pPr>
        <w:spacing w:before="103"/>
        <w:ind w:left="763" w:right="0" w:firstLine="0"/>
        <w:jc w:val="left"/>
        <w:rPr>
          <w:rFonts w:ascii="Century Gothic"/>
          <w:sz w:val="13"/>
        </w:rPr>
      </w:pPr>
      <w:r>
        <w:rPr/>
        <w:pict>
          <v:shape style="position:absolute;margin-left:148.356537pt;margin-top:-42.385452pt;width:36.5pt;height:4.7pt;mso-position-horizontal-relative:page;mso-position-vertical-relative:paragraph;z-index:1672;rotation:30" type="#_x0000_t136" fillcolor="#000000" stroked="f">
            <o:extrusion v:ext="view" autorotationcenter="t"/>
            <v:textpath style="font-family:&amp;quot;Arial&amp;quot;;font-size:4pt;v-text-kern:t;mso-text-shadow:auto;font-weight:bold;font-style:italic" string="BRADDOCK RD"/>
            <w10:wrap type="none"/>
          </v:shape>
        </w:pict>
      </w:r>
      <w:r>
        <w:rPr/>
        <w:pict>
          <v:shape style="position:absolute;margin-left:66.341435pt;margin-top:-22.957471pt;width:18.850pt;height:4.7pt;mso-position-horizontal-relative:page;mso-position-vertical-relative:paragraph;z-index:1888;rotation:81" type="#_x0000_t136" fillcolor="#000000" stroked="f">
            <o:extrusion v:ext="view" autorotationcenter="t"/>
            <v:textpath style="font-family:&amp;quot;Arial&amp;quot;;font-size:4pt;v-text-kern:t;mso-text-shadow:auto;font-weight:bold;font-style:italic" string="FARM R"/>
            <w10:wrap type="none"/>
          </v:shape>
        </w:pict>
      </w:r>
      <w:r>
        <w:rPr/>
        <w:pict>
          <v:shape style="position:absolute;margin-left:75.579971pt;margin-top:-11.800938pt;width:3.45pt;height:4.7pt;mso-position-horizontal-relative:page;mso-position-vertical-relative:paragraph;z-index:1912;rotation:84"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64.218399pt;margin-top:-44.077644pt;width:20.95pt;height:4.7pt;mso-position-horizontal-relative:page;mso-position-vertical-relative:paragraph;z-index:1936;rotation:92" type="#_x0000_t136" fillcolor="#000000" stroked="f">
            <o:extrusion v:ext="view" autorotationcenter="t"/>
            <v:textpath style="font-family:&amp;quot;Arial&amp;quot;;font-size:4pt;v-text-kern:t;mso-text-shadow:auto;font-weight:bold;font-style:italic" string="AUBURN"/>
            <w10:wrap type="none"/>
          </v:shape>
        </w:pict>
      </w:r>
      <w:r>
        <w:rPr>
          <w:rFonts w:ascii="Century Gothic"/>
          <w:sz w:val="13"/>
        </w:rPr>
        <w:t>Loudoun County IS NOT LIABLE for any use</w:t>
      </w:r>
    </w:p>
    <w:p>
      <w:pPr>
        <w:spacing w:line="247" w:lineRule="auto" w:before="4"/>
        <w:ind w:left="763" w:right="415" w:firstLine="0"/>
        <w:jc w:val="left"/>
        <w:rPr>
          <w:rFonts w:ascii="Century Gothic"/>
          <w:sz w:val="13"/>
        </w:rPr>
      </w:pPr>
      <w:r>
        <w:rPr>
          <w:rFonts w:ascii="Century Gothic"/>
          <w:sz w:val="13"/>
        </w:rPr>
        <w:t>of or reliance upon this map or any information contained herein. While reasonable efforts have been made to obtain accurate data, the County makes no warranty, expressed or implied, as to its</w:t>
      </w:r>
    </w:p>
    <w:p>
      <w:pPr>
        <w:spacing w:line="156" w:lineRule="exact" w:before="0"/>
        <w:ind w:left="763" w:right="0" w:firstLine="0"/>
        <w:jc w:val="left"/>
        <w:rPr>
          <w:rFonts w:ascii="Century Gothic"/>
          <w:sz w:val="13"/>
        </w:rPr>
      </w:pPr>
      <w:r>
        <w:rPr>
          <w:rFonts w:ascii="Century Gothic"/>
          <w:sz w:val="13"/>
        </w:rPr>
        <w:t>accuracy, completeness, or fitness for use of any purpose.</w:t>
      </w:r>
    </w:p>
    <w:p>
      <w:pPr>
        <w:pStyle w:val="BodyText"/>
        <w:rPr>
          <w:rFonts w:ascii="Century Gothic"/>
          <w:sz w:val="20"/>
        </w:rPr>
      </w:pPr>
      <w:r>
        <w:rPr/>
        <w:br w:type="column"/>
      </w:r>
      <w:r>
        <w:rPr>
          <w:rFonts w:ascii="Century Gothic"/>
          <w:sz w:val="20"/>
        </w:rPr>
      </w:r>
    </w:p>
    <w:p>
      <w:pPr>
        <w:pStyle w:val="BodyText"/>
        <w:rPr>
          <w:rFonts w:ascii="Century Gothic"/>
          <w:sz w:val="20"/>
        </w:rPr>
      </w:pPr>
    </w:p>
    <w:p>
      <w:pPr>
        <w:tabs>
          <w:tab w:pos="1074" w:val="left" w:leader="none"/>
        </w:tabs>
        <w:spacing w:before="133"/>
        <w:ind w:left="763" w:right="0" w:firstLine="0"/>
        <w:jc w:val="left"/>
        <w:rPr>
          <w:rFonts w:ascii="Century Gothic"/>
          <w:sz w:val="16"/>
        </w:rPr>
      </w:pPr>
      <w:r>
        <w:rPr>
          <w:rFonts w:ascii="Century Gothic"/>
          <w:sz w:val="16"/>
        </w:rPr>
        <w:t>0</w:t>
        <w:tab/>
      </w:r>
      <w:r>
        <w:rPr>
          <w:rFonts w:ascii="Century Gothic"/>
          <w:spacing w:val="-2"/>
          <w:sz w:val="16"/>
        </w:rPr>
        <w:t>0.5</w:t>
      </w:r>
    </w:p>
    <w:p>
      <w:pPr>
        <w:pStyle w:val="BodyText"/>
        <w:rPr>
          <w:rFonts w:ascii="Century Gothic"/>
          <w:sz w:val="20"/>
        </w:rPr>
      </w:pPr>
      <w:r>
        <w:rPr/>
        <w:br w:type="column"/>
      </w:r>
      <w:r>
        <w:rPr>
          <w:rFonts w:ascii="Century Gothic"/>
          <w:sz w:val="20"/>
        </w:rPr>
      </w:r>
    </w:p>
    <w:p>
      <w:pPr>
        <w:pStyle w:val="BodyText"/>
        <w:rPr>
          <w:rFonts w:ascii="Century Gothic"/>
          <w:sz w:val="20"/>
        </w:rPr>
      </w:pPr>
    </w:p>
    <w:p>
      <w:pPr>
        <w:tabs>
          <w:tab w:pos="967" w:val="left" w:leader="none"/>
          <w:tab w:pos="1745" w:val="left" w:leader="none"/>
          <w:tab w:pos="2516" w:val="left" w:leader="none"/>
        </w:tabs>
        <w:spacing w:line="185" w:lineRule="exact" w:before="133"/>
        <w:ind w:left="196" w:right="0" w:firstLine="0"/>
        <w:jc w:val="left"/>
        <w:rPr>
          <w:rFonts w:ascii="Century Gothic"/>
          <w:sz w:val="16"/>
        </w:rPr>
      </w:pPr>
      <w:r>
        <w:rPr/>
        <w:pict>
          <v:shape style="position:absolute;margin-left:521.473022pt;margin-top:14.730858pt;width:61.8pt;height:16.75pt;mso-position-horizontal-relative:page;mso-position-vertical-relative:paragraph;z-index:3712" type="#_x0000_t202" filled="false" stroked="false">
            <v:textbox inset="0,0,0,0">
              <w:txbxContent>
                <w:p>
                  <w:pPr>
                    <w:spacing w:before="2"/>
                    <w:ind w:left="0" w:right="0" w:firstLine="0"/>
                    <w:jc w:val="left"/>
                    <w:rPr>
                      <w:rFonts w:ascii="Verdana"/>
                      <w:b/>
                      <w:sz w:val="27"/>
                    </w:rPr>
                  </w:pPr>
                  <w:r>
                    <w:rPr>
                      <w:rFonts w:ascii="Verdana"/>
                      <w:b/>
                      <w:color w:val="FF0000"/>
                      <w:w w:val="90"/>
                      <w:sz w:val="27"/>
                    </w:rPr>
                    <w:t>D R A F</w:t>
                  </w:r>
                  <w:r>
                    <w:rPr>
                      <w:rFonts w:ascii="Verdana"/>
                      <w:b/>
                      <w:color w:val="FF0000"/>
                      <w:spacing w:val="-2"/>
                      <w:w w:val="90"/>
                      <w:sz w:val="27"/>
                    </w:rPr>
                    <w:t> </w:t>
                  </w:r>
                  <w:r>
                    <w:rPr>
                      <w:rFonts w:ascii="Verdana"/>
                      <w:b/>
                      <w:color w:val="FF0000"/>
                      <w:w w:val="90"/>
                      <w:sz w:val="27"/>
                    </w:rPr>
                    <w:t>T</w:t>
                  </w:r>
                </w:p>
              </w:txbxContent>
            </v:textbox>
            <w10:wrap type="none"/>
          </v:shape>
        </w:pict>
      </w:r>
      <w:r>
        <w:rPr>
          <w:rFonts w:ascii="Century Gothic"/>
          <w:sz w:val="16"/>
        </w:rPr>
        <w:t>1</w:t>
        <w:tab/>
        <w:t>2</w:t>
        <w:tab/>
        <w:t>3</w:t>
        <w:tab/>
        <w:t>4</w:t>
      </w:r>
    </w:p>
    <w:p>
      <w:pPr>
        <w:spacing w:line="173" w:lineRule="exact" w:before="0"/>
        <w:ind w:left="2585" w:right="3157" w:firstLine="0"/>
        <w:jc w:val="center"/>
        <w:rPr>
          <w:rFonts w:ascii="Arial"/>
          <w:sz w:val="16"/>
        </w:rPr>
      </w:pPr>
      <w:r>
        <w:rPr/>
        <w:pict>
          <v:group style="position:absolute;margin-left:277.573914pt;margin-top:2.092795pt;width:154.6pt;height:5.45pt;mso-position-horizontal-relative:page;mso-position-vertical-relative:paragraph;z-index:1216" coordorigin="5551,42" coordsize="3092,109">
            <v:line style="position:absolute" from="5551,96" to="5746,96" stroked="true" strokeweight="4.281pt" strokecolor="#000000">
              <v:stroke dashstyle="solid"/>
            </v:line>
            <v:rect style="position:absolute;left:5746;top:53;width:187;height:86" filled="false" stroked="true" strokeweight="1.168pt" strokecolor="#000000">
              <v:stroke dashstyle="solid"/>
            </v:rect>
            <v:line style="position:absolute" from="5933,96" to="6128,96" stroked="true" strokeweight="4.281pt" strokecolor="#000000">
              <v:stroke dashstyle="solid"/>
            </v:line>
            <v:rect style="position:absolute;left:6127;top:53;width:195;height:86" filled="false" stroked="true" strokeweight="1.168pt" strokecolor="#000000">
              <v:stroke dashstyle="solid"/>
            </v:rect>
            <v:line style="position:absolute" from="6322,96" to="7093,96" stroked="true" strokeweight="4.281pt" strokecolor="#000000">
              <v:stroke dashstyle="solid"/>
            </v:line>
            <v:rect style="position:absolute;left:7093;top:53;width:779;height:86" filled="false" stroked="true" strokeweight="1.168pt" strokecolor="#000000">
              <v:stroke dashstyle="solid"/>
            </v:rect>
            <v:line style="position:absolute" from="7872,96" to="8643,96" stroked="true" strokeweight="4.281pt" strokecolor="#000000">
              <v:stroke dashstyle="solid"/>
            </v:line>
            <w10:wrap type="none"/>
          </v:group>
        </w:pict>
      </w:r>
      <w:r>
        <w:rPr>
          <w:rFonts w:ascii="Arial"/>
          <w:sz w:val="16"/>
        </w:rPr>
        <w:t>Miles</w:t>
      </w:r>
    </w:p>
    <w:p>
      <w:pPr>
        <w:spacing w:before="14"/>
        <w:ind w:left="601" w:right="0" w:firstLine="0"/>
        <w:jc w:val="left"/>
        <w:rPr>
          <w:rFonts w:ascii="Verdana"/>
          <w:b/>
          <w:sz w:val="10"/>
        </w:rPr>
      </w:pPr>
      <w:r>
        <w:rPr>
          <w:rFonts w:ascii="Verdana"/>
          <w:b/>
          <w:w w:val="95"/>
          <w:sz w:val="10"/>
        </w:rPr>
        <w:t>Map N um be r 2 01 8 - 1 5 1</w:t>
      </w:r>
    </w:p>
    <w:p>
      <w:pPr>
        <w:spacing w:after="0"/>
        <w:jc w:val="left"/>
        <w:rPr>
          <w:rFonts w:ascii="Verdana"/>
          <w:sz w:val="10"/>
        </w:rPr>
        <w:sectPr>
          <w:type w:val="continuous"/>
          <w:pgSz w:w="12240" w:h="15840"/>
          <w:pgMar w:top="920" w:bottom="640" w:left="0" w:right="0"/>
          <w:cols w:num="3" w:equalWidth="0">
            <w:col w:w="4530" w:space="216"/>
            <w:col w:w="1298" w:space="39"/>
            <w:col w:w="6157"/>
          </w:cols>
        </w:sectPr>
      </w:pPr>
    </w:p>
    <w:p>
      <w:pPr>
        <w:pStyle w:val="Heading1"/>
        <w:tabs>
          <w:tab w:pos="1723" w:val="left" w:leader="none"/>
          <w:tab w:pos="11235" w:val="left" w:leader="none"/>
        </w:tabs>
        <w:spacing w:before="77"/>
      </w:pPr>
      <w:r>
        <w:rPr>
          <w:w w:val="100"/>
          <w:shd w:fill="FFF900" w:color="auto" w:val="clear"/>
        </w:rPr>
        <w:t> </w:t>
      </w:r>
      <w:r>
        <w:rPr>
          <w:shd w:fill="FFF900" w:color="auto" w:val="clear"/>
        </w:rPr>
        <w:tab/>
        <w:t>Suburban</w:t>
      </w:r>
      <w:r>
        <w:rPr>
          <w:spacing w:val="-13"/>
          <w:shd w:fill="FFF900" w:color="auto" w:val="clear"/>
        </w:rPr>
        <w:t> </w:t>
      </w:r>
      <w:r>
        <w:rPr>
          <w:shd w:fill="FFF900" w:color="auto" w:val="clear"/>
        </w:rPr>
        <w:t>Neighborhood</w:t>
        <w:tab/>
      </w:r>
    </w:p>
    <w:p>
      <w:pPr>
        <w:pStyle w:val="BodyText"/>
        <w:spacing w:before="12"/>
        <w:rPr>
          <w:rFonts w:ascii="Ebrima"/>
          <w:b/>
          <w:sz w:val="29"/>
        </w:rPr>
      </w:pPr>
      <w:r>
        <w:rPr/>
        <w:drawing>
          <wp:anchor distT="0" distB="0" distL="0" distR="0" allowOverlap="1" layoutInCell="1" locked="0" behindDoc="0" simplePos="0" relativeHeight="3736">
            <wp:simplePos x="0" y="0"/>
            <wp:positionH relativeFrom="page">
              <wp:posOffset>1017269</wp:posOffset>
            </wp:positionH>
            <wp:positionV relativeFrom="paragraph">
              <wp:posOffset>267692</wp:posOffset>
            </wp:positionV>
            <wp:extent cx="3345290" cy="1391411"/>
            <wp:effectExtent l="0" t="0" r="0" b="0"/>
            <wp:wrapTopAndBottom/>
            <wp:docPr id="3" name="image12.jpeg" descr=""/>
            <wp:cNvGraphicFramePr>
              <a:graphicFrameLocks noChangeAspect="1"/>
            </wp:cNvGraphicFramePr>
            <a:graphic>
              <a:graphicData uri="http://schemas.openxmlformats.org/drawingml/2006/picture">
                <pic:pic>
                  <pic:nvPicPr>
                    <pic:cNvPr id="4" name="image12.jpeg"/>
                    <pic:cNvPicPr/>
                  </pic:nvPicPr>
                  <pic:blipFill>
                    <a:blip r:embed="rId21" cstate="print"/>
                    <a:stretch>
                      <a:fillRect/>
                    </a:stretch>
                  </pic:blipFill>
                  <pic:spPr>
                    <a:xfrm>
                      <a:off x="0" y="0"/>
                      <a:ext cx="3345290" cy="1391411"/>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4421759</wp:posOffset>
            </wp:positionH>
            <wp:positionV relativeFrom="paragraph">
              <wp:posOffset>280900</wp:posOffset>
            </wp:positionV>
            <wp:extent cx="2326408" cy="1357883"/>
            <wp:effectExtent l="0" t="0" r="0" b="0"/>
            <wp:wrapTopAndBottom/>
            <wp:docPr id="5" name="image13.jpeg" descr=""/>
            <wp:cNvGraphicFramePr>
              <a:graphicFrameLocks noChangeAspect="1"/>
            </wp:cNvGraphicFramePr>
            <a:graphic>
              <a:graphicData uri="http://schemas.openxmlformats.org/drawingml/2006/picture">
                <pic:pic>
                  <pic:nvPicPr>
                    <pic:cNvPr id="6" name="image13.jpeg"/>
                    <pic:cNvPicPr/>
                  </pic:nvPicPr>
                  <pic:blipFill>
                    <a:blip r:embed="rId22" cstate="print"/>
                    <a:stretch>
                      <a:fillRect/>
                    </a:stretch>
                  </pic:blipFill>
                  <pic:spPr>
                    <a:xfrm>
                      <a:off x="0" y="0"/>
                      <a:ext cx="2326408" cy="1357883"/>
                    </a:xfrm>
                    <a:prstGeom prst="rect">
                      <a:avLst/>
                    </a:prstGeom>
                  </pic:spPr>
                </pic:pic>
              </a:graphicData>
            </a:graphic>
          </wp:anchor>
        </w:drawing>
      </w:r>
    </w:p>
    <w:p>
      <w:pPr>
        <w:pStyle w:val="BodyText"/>
        <w:spacing w:before="1"/>
        <w:rPr>
          <w:rFonts w:ascii="Ebrima"/>
          <w:b/>
          <w:sz w:val="5"/>
        </w:rPr>
      </w:pPr>
    </w:p>
    <w:p>
      <w:pPr>
        <w:spacing w:line="240" w:lineRule="auto"/>
        <w:ind w:left="1596" w:right="0" w:firstLine="0"/>
        <w:rPr>
          <w:rFonts w:ascii="Ebrima"/>
          <w:sz w:val="20"/>
        </w:rPr>
      </w:pPr>
      <w:r>
        <w:rPr>
          <w:rFonts w:ascii="Ebrima"/>
          <w:sz w:val="20"/>
        </w:rPr>
        <w:drawing>
          <wp:inline distT="0" distB="0" distL="0" distR="0">
            <wp:extent cx="3345829" cy="1520189"/>
            <wp:effectExtent l="0" t="0" r="0" b="0"/>
            <wp:docPr id="7" name="image14.jpeg" descr=""/>
            <wp:cNvGraphicFramePr>
              <a:graphicFrameLocks noChangeAspect="1"/>
            </wp:cNvGraphicFramePr>
            <a:graphic>
              <a:graphicData uri="http://schemas.openxmlformats.org/drawingml/2006/picture">
                <pic:pic>
                  <pic:nvPicPr>
                    <pic:cNvPr id="8" name="image14.jpeg"/>
                    <pic:cNvPicPr/>
                  </pic:nvPicPr>
                  <pic:blipFill>
                    <a:blip r:embed="rId23" cstate="print"/>
                    <a:stretch>
                      <a:fillRect/>
                    </a:stretch>
                  </pic:blipFill>
                  <pic:spPr>
                    <a:xfrm>
                      <a:off x="0" y="0"/>
                      <a:ext cx="3345829" cy="1520189"/>
                    </a:xfrm>
                    <a:prstGeom prst="rect">
                      <a:avLst/>
                    </a:prstGeom>
                  </pic:spPr>
                </pic:pic>
              </a:graphicData>
            </a:graphic>
          </wp:inline>
        </w:drawing>
      </w:r>
      <w:r>
        <w:rPr>
          <w:rFonts w:ascii="Ebrima"/>
          <w:sz w:val="20"/>
        </w:rPr>
      </w:r>
      <w:r>
        <w:rPr>
          <w:spacing w:val="40"/>
          <w:sz w:val="20"/>
        </w:rPr>
        <w:t> </w:t>
      </w:r>
      <w:r>
        <w:rPr>
          <w:rFonts w:ascii="Ebrima"/>
          <w:spacing w:val="40"/>
          <w:sz w:val="20"/>
        </w:rPr>
        <w:drawing>
          <wp:inline distT="0" distB="0" distL="0" distR="0">
            <wp:extent cx="2357038" cy="1518951"/>
            <wp:effectExtent l="0" t="0" r="0" b="0"/>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24" cstate="print"/>
                    <a:stretch>
                      <a:fillRect/>
                    </a:stretch>
                  </pic:blipFill>
                  <pic:spPr>
                    <a:xfrm>
                      <a:off x="0" y="0"/>
                      <a:ext cx="2357038" cy="1518951"/>
                    </a:xfrm>
                    <a:prstGeom prst="rect">
                      <a:avLst/>
                    </a:prstGeom>
                  </pic:spPr>
                </pic:pic>
              </a:graphicData>
            </a:graphic>
          </wp:inline>
        </w:drawing>
      </w:r>
      <w:r>
        <w:rPr>
          <w:rFonts w:ascii="Ebrima"/>
          <w:spacing w:val="40"/>
          <w:sz w:val="20"/>
        </w:rPr>
      </w:r>
    </w:p>
    <w:p>
      <w:pPr>
        <w:pStyle w:val="BodyText"/>
        <w:spacing w:before="7"/>
        <w:rPr>
          <w:rFonts w:ascii="Ebrima"/>
          <w:b/>
          <w:sz w:val="8"/>
        </w:rPr>
      </w:pPr>
    </w:p>
    <w:p>
      <w:pPr>
        <w:pStyle w:val="BodyText"/>
        <w:spacing w:before="90"/>
        <w:ind w:left="1440" w:right="1435"/>
        <w:jc w:val="both"/>
      </w:pPr>
      <w:r>
        <w:rPr>
          <w:color w:val="221F1F"/>
        </w:rPr>
        <w:t>Suburban Neighborhood areas include Loudoun’s master planned neighborhoods of predominantly residential uses arranged on medium-to-large lots. Accessory residential units can be appropriate for the area and may consist of apartments in the principal structure, garage apartments, or other outbuildings approved by the County. Retail and service uses that serve the routine</w:t>
      </w:r>
      <w:r>
        <w:rPr>
          <w:color w:val="221F1F"/>
          <w:spacing w:val="-6"/>
        </w:rPr>
        <w:t> </w:t>
      </w:r>
      <w:r>
        <w:rPr>
          <w:color w:val="221F1F"/>
        </w:rPr>
        <w:t>shopping</w:t>
      </w:r>
      <w:r>
        <w:rPr>
          <w:color w:val="221F1F"/>
          <w:spacing w:val="-7"/>
        </w:rPr>
        <w:t> </w:t>
      </w:r>
      <w:r>
        <w:rPr>
          <w:color w:val="221F1F"/>
        </w:rPr>
        <w:t>needs</w:t>
      </w:r>
      <w:r>
        <w:rPr>
          <w:color w:val="221F1F"/>
          <w:spacing w:val="-5"/>
        </w:rPr>
        <w:t> </w:t>
      </w:r>
      <w:r>
        <w:rPr>
          <w:color w:val="221F1F"/>
        </w:rPr>
        <w:t>of</w:t>
      </w:r>
      <w:r>
        <w:rPr>
          <w:color w:val="221F1F"/>
          <w:spacing w:val="-6"/>
        </w:rPr>
        <w:t> </w:t>
      </w:r>
      <w:r>
        <w:rPr>
          <w:color w:val="221F1F"/>
        </w:rPr>
        <w:t>the</w:t>
      </w:r>
      <w:r>
        <w:rPr>
          <w:color w:val="221F1F"/>
          <w:spacing w:val="-5"/>
        </w:rPr>
        <w:t> </w:t>
      </w:r>
      <w:r>
        <w:rPr>
          <w:color w:val="221F1F"/>
        </w:rPr>
        <w:t>immediate</w:t>
      </w:r>
      <w:r>
        <w:rPr>
          <w:color w:val="221F1F"/>
          <w:spacing w:val="-6"/>
        </w:rPr>
        <w:t> </w:t>
      </w:r>
      <w:r>
        <w:rPr>
          <w:color w:val="221F1F"/>
        </w:rPr>
        <w:t>neighborhood</w:t>
      </w:r>
      <w:r>
        <w:rPr>
          <w:color w:val="221F1F"/>
          <w:spacing w:val="-5"/>
        </w:rPr>
        <w:t> </w:t>
      </w:r>
      <w:r>
        <w:rPr>
          <w:color w:val="221F1F"/>
        </w:rPr>
        <w:t>(e.g.,</w:t>
      </w:r>
      <w:r>
        <w:rPr>
          <w:color w:val="221F1F"/>
          <w:spacing w:val="-2"/>
        </w:rPr>
        <w:t> </w:t>
      </w:r>
      <w:r>
        <w:rPr>
          <w:color w:val="221F1F"/>
        </w:rPr>
        <w:t>grocery,</w:t>
      </w:r>
      <w:r>
        <w:rPr>
          <w:color w:val="221F1F"/>
          <w:spacing w:val="-5"/>
        </w:rPr>
        <w:t> </w:t>
      </w:r>
      <w:r>
        <w:rPr>
          <w:color w:val="221F1F"/>
        </w:rPr>
        <w:t>drycleaners,</w:t>
      </w:r>
      <w:r>
        <w:rPr>
          <w:color w:val="221F1F"/>
          <w:spacing w:val="-5"/>
        </w:rPr>
        <w:t> </w:t>
      </w:r>
      <w:r>
        <w:rPr>
          <w:color w:val="221F1F"/>
        </w:rPr>
        <w:t>etc.)</w:t>
      </w:r>
      <w:r>
        <w:rPr>
          <w:color w:val="221F1F"/>
          <w:spacing w:val="-4"/>
        </w:rPr>
        <w:t> </w:t>
      </w:r>
      <w:r>
        <w:rPr>
          <w:color w:val="221F1F"/>
        </w:rPr>
        <w:t>should</w:t>
      </w:r>
      <w:r>
        <w:rPr>
          <w:color w:val="221F1F"/>
          <w:spacing w:val="-5"/>
        </w:rPr>
        <w:t> </w:t>
      </w:r>
      <w:r>
        <w:rPr>
          <w:color w:val="221F1F"/>
        </w:rPr>
        <w:t>be integrated into the area at significant intersections and along major</w:t>
      </w:r>
      <w:r>
        <w:rPr>
          <w:color w:val="221F1F"/>
          <w:spacing w:val="-5"/>
        </w:rPr>
        <w:t> </w:t>
      </w:r>
      <w:r>
        <w:rPr>
          <w:color w:val="221F1F"/>
        </w:rPr>
        <w:t>roads.</w:t>
      </w:r>
    </w:p>
    <w:p>
      <w:pPr>
        <w:pStyle w:val="BodyText"/>
        <w:spacing w:before="161"/>
        <w:ind w:left="1440" w:right="1443"/>
        <w:jc w:val="both"/>
      </w:pPr>
      <w:r>
        <w:rPr/>
        <w:pict>
          <v:group style="position:absolute;margin-left:395.48999pt;margin-top:110.21312pt;width:121.35pt;height:122.1pt;mso-position-horizontal-relative:page;mso-position-vertical-relative:paragraph;z-index:-30568" coordorigin="7910,2204" coordsize="2427,2442">
            <v:shape style="position:absolute;left:7909;top:2219;width:2427;height:2427" coordorigin="7910,2220" coordsize="2427,2427" path="m7969,3058l7948,3131,7931,3206,7919,3281,7912,3357,7910,3433,7912,3510,7919,3585,7931,3659,7947,3732,7967,3803,7991,3872,8020,3939,8052,4003,8088,4066,8127,4126,8170,4184,8216,4239,8265,4291,8317,4340,8372,4386,8430,4429,8490,4468,8553,4504,8618,4536,8685,4565,8753,4589,8824,4609,8897,4625,8971,4637,9046,4644,9123,4646,9200,4644,9275,4637,9349,4625,9422,4609,9493,4589,9561,4565,9628,4536,9693,4504,9756,4468,9816,4429,9874,4386,9929,4340,9981,4291,10030,4239,10076,4184,10119,4126,10158,4066,10174,4039,9157,4039,9083,4039,9009,4029,8936,4010,8865,3982,8799,3946,8740,3903,8686,3854,8640,3800,8600,3740,8567,3676,8542,3609,8526,3539,8517,3467,8518,3393,8527,3319,8546,3246,7969,3058xm9123,2220l9123,2826,9171,2828,9218,2834,9265,2843,9310,2856,9381,2884,9447,2920,9506,2963,9560,3012,9606,3067,9646,3126,9679,3190,9704,3257,9720,3327,9729,3399,9728,3473,9719,3547,9700,3620,9672,3691,9636,3757,9593,3816,9544,3870,9489,3917,9430,3956,9366,3989,9299,4014,9229,4031,9157,4039,10174,4039,10194,4003,10226,3939,10255,3872,10279,3803,10299,3732,10315,3659,10327,3585,10334,3510,10336,3433,10334,3356,10327,3281,10315,3207,10299,3134,10279,3064,10255,2995,10226,2928,10194,2863,10158,2800,10119,2740,10076,2682,10030,2627,9981,2575,9929,2526,9874,2480,9816,2437,9756,2398,9693,2362,9628,2330,9561,2302,9493,2277,9422,2257,9349,2241,9275,2229,9200,2222,9123,2220xe" filled="true" fillcolor="#bcd6ed" stroked="false">
              <v:path arrowok="t"/>
              <v:fill type="solid"/>
            </v:shape>
            <v:shape style="position:absolute;left:7969;top:2451;width:798;height:795" coordorigin="7969,2451" coordsize="798,795" path="m8410,2451l8349,2498,8292,2549,8238,2603,8188,2660,8141,2720,8099,2783,8060,2848,8026,2916,7995,2986,7969,3058,8546,3246,8574,3175,8611,3108,8655,3047,8707,2991,8766,2942,8410,2451xe" filled="true" fillcolor="#5b9bd4" stroked="false">
              <v:path arrowok="t"/>
              <v:fill type="solid"/>
            </v:shape>
            <v:shape style="position:absolute;left:7969;top:2451;width:798;height:795" coordorigin="7969,2451" coordsize="798,795" path="m7969,3058l7995,2986,8026,2916,8060,2848,8099,2783,8141,2720,8188,2660,8238,2603,8292,2549,8349,2498,8410,2451,8766,2942,8707,2991,8655,3047,8611,3108,8574,3175,8546,3246,7969,3058xe" filled="false" stroked="true" strokeweight="1.56pt" strokecolor="#ffffff">
              <v:path arrowok="t"/>
              <v:stroke dashstyle="solid"/>
            </v:shape>
            <v:shape style="position:absolute;left:8409;top:2219;width:714;height:723" coordorigin="8410,2220" coordsize="714,723" path="m9123,2220l9046,2222,8970,2229,8895,2241,8821,2258,8748,2279,8677,2305,8607,2335,8539,2370,8473,2408,8410,2451,8766,2942,8831,2901,8900,2869,8972,2846,9047,2831,9123,2826,9123,2220xe" filled="true" fillcolor="#4471c4" stroked="false">
              <v:path arrowok="t"/>
              <v:fill type="solid"/>
            </v:shape>
            <v:shape style="position:absolute;left:8409;top:2219;width:714;height:723" coordorigin="8410,2220" coordsize="714,723" path="m8410,2451l8473,2408,8539,2370,8607,2335,8677,2305,8748,2279,8821,2258,8895,2241,8970,2229,9046,2222,9123,2220,9123,2826,9047,2831,8972,2846,8900,2869,8831,2901,8766,2942,8410,2451xe" filled="false" stroked="true" strokeweight="1.56pt" strokecolor="#ffffff">
              <v:path arrowok="t"/>
              <v:stroke dashstyle="solid"/>
            </v:shape>
            <w10:wrap type="none"/>
          </v:group>
        </w:pict>
      </w:r>
      <w:r>
        <w:rPr>
          <w:color w:val="221F1F"/>
        </w:rPr>
        <w:t>The</w:t>
      </w:r>
      <w:r>
        <w:rPr>
          <w:color w:val="221F1F"/>
          <w:spacing w:val="-12"/>
        </w:rPr>
        <w:t> </w:t>
      </w:r>
      <w:r>
        <w:rPr>
          <w:color w:val="221F1F"/>
        </w:rPr>
        <w:t>Suburban</w:t>
      </w:r>
      <w:r>
        <w:rPr>
          <w:color w:val="221F1F"/>
          <w:spacing w:val="-9"/>
        </w:rPr>
        <w:t> </w:t>
      </w:r>
      <w:r>
        <w:rPr>
          <w:color w:val="221F1F"/>
        </w:rPr>
        <w:t>Compact</w:t>
      </w:r>
      <w:r>
        <w:rPr>
          <w:color w:val="221F1F"/>
          <w:spacing w:val="-8"/>
        </w:rPr>
        <w:t> </w:t>
      </w:r>
      <w:r>
        <w:rPr>
          <w:color w:val="221F1F"/>
        </w:rPr>
        <w:t>Neighborhood</w:t>
      </w:r>
      <w:r>
        <w:rPr>
          <w:color w:val="221F1F"/>
          <w:spacing w:val="-12"/>
        </w:rPr>
        <w:t> </w:t>
      </w:r>
      <w:r>
        <w:rPr>
          <w:color w:val="221F1F"/>
        </w:rPr>
        <w:t>Place</w:t>
      </w:r>
      <w:r>
        <w:rPr>
          <w:color w:val="221F1F"/>
          <w:spacing w:val="-12"/>
        </w:rPr>
        <w:t> </w:t>
      </w:r>
      <w:r>
        <w:rPr>
          <w:color w:val="221F1F"/>
        </w:rPr>
        <w:t>Type</w:t>
      </w:r>
      <w:r>
        <w:rPr>
          <w:color w:val="221F1F"/>
          <w:spacing w:val="-12"/>
        </w:rPr>
        <w:t> </w:t>
      </w:r>
      <w:r>
        <w:rPr>
          <w:color w:val="221F1F"/>
        </w:rPr>
        <w:t>may</w:t>
      </w:r>
      <w:r>
        <w:rPr>
          <w:color w:val="221F1F"/>
          <w:spacing w:val="-16"/>
        </w:rPr>
        <w:t> </w:t>
      </w:r>
      <w:r>
        <w:rPr>
          <w:color w:val="221F1F"/>
        </w:rPr>
        <w:t>be</w:t>
      </w:r>
      <w:r>
        <w:rPr>
          <w:color w:val="221F1F"/>
          <w:spacing w:val="-10"/>
        </w:rPr>
        <w:t> </w:t>
      </w:r>
      <w:r>
        <w:rPr>
          <w:color w:val="221F1F"/>
        </w:rPr>
        <w:t>appropriate</w:t>
      </w:r>
      <w:r>
        <w:rPr>
          <w:color w:val="221F1F"/>
          <w:spacing w:val="-12"/>
        </w:rPr>
        <w:t> </w:t>
      </w:r>
      <w:r>
        <w:rPr>
          <w:color w:val="221F1F"/>
        </w:rPr>
        <w:t>for</w:t>
      </w:r>
      <w:r>
        <w:rPr>
          <w:color w:val="221F1F"/>
          <w:spacing w:val="-12"/>
        </w:rPr>
        <w:t> </w:t>
      </w:r>
      <w:r>
        <w:rPr>
          <w:color w:val="221F1F"/>
        </w:rPr>
        <w:t>infill</w:t>
      </w:r>
      <w:r>
        <w:rPr>
          <w:color w:val="221F1F"/>
          <w:spacing w:val="-10"/>
        </w:rPr>
        <w:t> </w:t>
      </w:r>
      <w:r>
        <w:rPr>
          <w:color w:val="221F1F"/>
        </w:rPr>
        <w:t>parcels</w:t>
      </w:r>
      <w:r>
        <w:rPr>
          <w:color w:val="221F1F"/>
          <w:spacing w:val="-10"/>
        </w:rPr>
        <w:t> </w:t>
      </w:r>
      <w:r>
        <w:rPr>
          <w:color w:val="221F1F"/>
        </w:rPr>
        <w:t>designated as Suburban Neighborhood on the Place Type</w:t>
      </w:r>
      <w:r>
        <w:rPr>
          <w:color w:val="221F1F"/>
          <w:spacing w:val="-3"/>
        </w:rPr>
        <w:t> </w:t>
      </w:r>
      <w:r>
        <w:rPr>
          <w:color w:val="221F1F"/>
        </w:rPr>
        <w:t>map.</w:t>
      </w:r>
    </w:p>
    <w:p>
      <w:pPr>
        <w:pStyle w:val="BodyText"/>
        <w:rPr>
          <w:sz w:val="20"/>
        </w:rPr>
      </w:pPr>
    </w:p>
    <w:p>
      <w:pPr>
        <w:pStyle w:val="BodyText"/>
        <w:spacing w:before="6"/>
        <w:rPr>
          <w:sz w:val="19"/>
        </w:rPr>
      </w:pPr>
    </w:p>
    <w:tbl>
      <w:tblPr>
        <w:tblW w:w="0" w:type="auto"/>
        <w:jc w:val="left"/>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8"/>
        <w:gridCol w:w="2604"/>
        <w:gridCol w:w="4347"/>
      </w:tblGrid>
      <w:tr>
        <w:trPr>
          <w:trHeight w:val="421" w:hRule="atLeast"/>
        </w:trPr>
        <w:tc>
          <w:tcPr>
            <w:tcW w:w="2948" w:type="dxa"/>
          </w:tcPr>
          <w:p>
            <w:pPr>
              <w:pStyle w:val="TableParagraph"/>
              <w:spacing w:before="71"/>
              <w:ind w:left="535"/>
              <w:rPr>
                <w:b/>
                <w:sz w:val="24"/>
              </w:rPr>
            </w:pPr>
            <w:r>
              <w:rPr>
                <w:b/>
                <w:color w:val="221F1F"/>
                <w:sz w:val="24"/>
              </w:rPr>
              <w:t>Predominant Uses</w:t>
            </w:r>
          </w:p>
        </w:tc>
        <w:tc>
          <w:tcPr>
            <w:tcW w:w="2604" w:type="dxa"/>
          </w:tcPr>
          <w:p>
            <w:pPr>
              <w:pStyle w:val="TableParagraph"/>
              <w:spacing w:before="56"/>
              <w:ind w:left="499"/>
              <w:rPr>
                <w:b/>
                <w:sz w:val="24"/>
              </w:rPr>
            </w:pPr>
            <w:r>
              <w:rPr>
                <w:b/>
                <w:sz w:val="24"/>
              </w:rPr>
              <w:t>S</w:t>
            </w:r>
            <w:r>
              <w:rPr>
                <w:b/>
                <w:color w:val="221F1F"/>
                <w:sz w:val="24"/>
              </w:rPr>
              <w:t>econdary Uses</w:t>
            </w:r>
          </w:p>
        </w:tc>
        <w:tc>
          <w:tcPr>
            <w:tcW w:w="4347" w:type="dxa"/>
          </w:tcPr>
          <w:p>
            <w:pPr>
              <w:pStyle w:val="TableParagraph"/>
              <w:spacing w:before="56"/>
              <w:ind w:left="1231"/>
              <w:rPr>
                <w:b/>
                <w:sz w:val="24"/>
              </w:rPr>
            </w:pPr>
            <w:r>
              <w:rPr>
                <w:b/>
                <w:sz w:val="24"/>
              </w:rPr>
              <w:t>Ideal Mix of Uses</w:t>
            </w:r>
          </w:p>
        </w:tc>
      </w:tr>
      <w:tr>
        <w:trPr>
          <w:trHeight w:val="4308" w:hRule="atLeast"/>
        </w:trPr>
        <w:tc>
          <w:tcPr>
            <w:tcW w:w="2948" w:type="dxa"/>
          </w:tcPr>
          <w:p>
            <w:pPr>
              <w:pStyle w:val="TableParagraph"/>
              <w:spacing w:before="4"/>
              <w:rPr>
                <w:sz w:val="20"/>
              </w:rPr>
            </w:pPr>
          </w:p>
          <w:p>
            <w:pPr>
              <w:pStyle w:val="TableParagraph"/>
              <w:numPr>
                <w:ilvl w:val="0"/>
                <w:numId w:val="1"/>
              </w:numPr>
              <w:tabs>
                <w:tab w:pos="690" w:val="left" w:leader="none"/>
              </w:tabs>
              <w:spacing w:line="240" w:lineRule="auto" w:before="0" w:after="0"/>
              <w:ind w:left="689" w:right="203" w:hanging="180"/>
              <w:jc w:val="left"/>
              <w:rPr>
                <w:sz w:val="24"/>
              </w:rPr>
            </w:pPr>
            <w:r>
              <w:rPr>
                <w:color w:val="221F1F"/>
                <w:sz w:val="24"/>
              </w:rPr>
              <w:t>Single Family Detached</w:t>
            </w:r>
            <w:r>
              <w:rPr>
                <w:color w:val="221F1F"/>
                <w:spacing w:val="-5"/>
                <w:sz w:val="24"/>
              </w:rPr>
              <w:t> </w:t>
            </w:r>
            <w:r>
              <w:rPr>
                <w:color w:val="221F1F"/>
                <w:sz w:val="24"/>
              </w:rPr>
              <w:t>Residential</w:t>
            </w:r>
          </w:p>
          <w:p>
            <w:pPr>
              <w:pStyle w:val="TableParagraph"/>
              <w:numPr>
                <w:ilvl w:val="0"/>
                <w:numId w:val="1"/>
              </w:numPr>
              <w:tabs>
                <w:tab w:pos="690" w:val="left" w:leader="none"/>
              </w:tabs>
              <w:spacing w:line="240" w:lineRule="auto" w:before="0" w:after="0"/>
              <w:ind w:left="689" w:right="244" w:hanging="180"/>
              <w:jc w:val="left"/>
              <w:rPr>
                <w:sz w:val="24"/>
              </w:rPr>
            </w:pPr>
            <w:r>
              <w:rPr>
                <w:color w:val="221F1F"/>
                <w:sz w:val="24"/>
              </w:rPr>
              <w:t>Single Family Attached</w:t>
            </w:r>
            <w:r>
              <w:rPr>
                <w:color w:val="221F1F"/>
                <w:spacing w:val="-5"/>
                <w:sz w:val="24"/>
              </w:rPr>
              <w:t> </w:t>
            </w:r>
            <w:r>
              <w:rPr>
                <w:color w:val="221F1F"/>
                <w:sz w:val="24"/>
              </w:rPr>
              <w:t>Residential</w:t>
            </w:r>
          </w:p>
          <w:p>
            <w:pPr>
              <w:pStyle w:val="TableParagraph"/>
              <w:numPr>
                <w:ilvl w:val="0"/>
                <w:numId w:val="1"/>
              </w:numPr>
              <w:tabs>
                <w:tab w:pos="690" w:val="left" w:leader="none"/>
              </w:tabs>
              <w:spacing w:line="240" w:lineRule="auto" w:before="0" w:after="0"/>
              <w:ind w:left="689" w:right="513" w:hanging="180"/>
              <w:jc w:val="left"/>
              <w:rPr>
                <w:sz w:val="24"/>
              </w:rPr>
            </w:pPr>
            <w:r>
              <w:rPr>
                <w:color w:val="221F1F"/>
                <w:sz w:val="24"/>
              </w:rPr>
              <w:t>Civic, Cultural, &amp; Community</w:t>
            </w:r>
          </w:p>
        </w:tc>
        <w:tc>
          <w:tcPr>
            <w:tcW w:w="2604" w:type="dxa"/>
          </w:tcPr>
          <w:p>
            <w:pPr>
              <w:pStyle w:val="TableParagraph"/>
              <w:spacing w:before="4"/>
              <w:rPr>
                <w:sz w:val="20"/>
              </w:rPr>
            </w:pPr>
          </w:p>
          <w:p>
            <w:pPr>
              <w:pStyle w:val="TableParagraph"/>
              <w:numPr>
                <w:ilvl w:val="0"/>
                <w:numId w:val="2"/>
              </w:numPr>
              <w:tabs>
                <w:tab w:pos="689" w:val="left" w:leader="none"/>
              </w:tabs>
              <w:spacing w:line="240" w:lineRule="auto" w:before="0" w:after="0"/>
              <w:ind w:left="688" w:right="0" w:hanging="180"/>
              <w:jc w:val="left"/>
              <w:rPr>
                <w:sz w:val="24"/>
              </w:rPr>
            </w:pPr>
            <w:r>
              <w:rPr>
                <w:sz w:val="24"/>
              </w:rPr>
              <w:t>Office</w:t>
            </w:r>
          </w:p>
          <w:p>
            <w:pPr>
              <w:pStyle w:val="TableParagraph"/>
              <w:numPr>
                <w:ilvl w:val="0"/>
                <w:numId w:val="2"/>
              </w:numPr>
              <w:tabs>
                <w:tab w:pos="689" w:val="left" w:leader="none"/>
              </w:tabs>
              <w:spacing w:line="240" w:lineRule="auto" w:before="0" w:after="0"/>
              <w:ind w:left="688" w:right="304" w:hanging="180"/>
              <w:jc w:val="left"/>
              <w:rPr>
                <w:sz w:val="24"/>
              </w:rPr>
            </w:pPr>
            <w:r>
              <w:rPr>
                <w:sz w:val="24"/>
              </w:rPr>
              <w:t>Retail &amp; Service Commercial</w:t>
            </w:r>
          </w:p>
          <w:p>
            <w:pPr>
              <w:pStyle w:val="TableParagraph"/>
              <w:numPr>
                <w:ilvl w:val="0"/>
                <w:numId w:val="2"/>
              </w:numPr>
              <w:tabs>
                <w:tab w:pos="689" w:val="left" w:leader="none"/>
              </w:tabs>
              <w:spacing w:line="240" w:lineRule="auto" w:before="0" w:after="0"/>
              <w:ind w:left="688" w:right="0" w:hanging="180"/>
              <w:jc w:val="left"/>
              <w:rPr>
                <w:sz w:val="24"/>
              </w:rPr>
            </w:pPr>
            <w:r>
              <w:rPr>
                <w:sz w:val="24"/>
              </w:rPr>
              <w:t>Public</w:t>
            </w:r>
            <w:r>
              <w:rPr>
                <w:spacing w:val="-2"/>
                <w:sz w:val="24"/>
              </w:rPr>
              <w:t> </w:t>
            </w:r>
            <w:r>
              <w:rPr>
                <w:sz w:val="24"/>
              </w:rPr>
              <w:t>Facilities</w:t>
            </w:r>
          </w:p>
          <w:p>
            <w:pPr>
              <w:pStyle w:val="TableParagraph"/>
              <w:numPr>
                <w:ilvl w:val="0"/>
                <w:numId w:val="2"/>
              </w:numPr>
              <w:tabs>
                <w:tab w:pos="689" w:val="left" w:leader="none"/>
              </w:tabs>
              <w:spacing w:line="240" w:lineRule="auto" w:before="0" w:after="0"/>
              <w:ind w:left="688" w:right="607" w:hanging="180"/>
              <w:jc w:val="left"/>
              <w:rPr>
                <w:sz w:val="24"/>
              </w:rPr>
            </w:pPr>
            <w:r>
              <w:rPr>
                <w:sz w:val="24"/>
              </w:rPr>
              <w:t>Active Adult Retirement Communities</w:t>
            </w:r>
          </w:p>
          <w:p>
            <w:pPr>
              <w:pStyle w:val="TableParagraph"/>
              <w:numPr>
                <w:ilvl w:val="0"/>
                <w:numId w:val="2"/>
              </w:numPr>
              <w:tabs>
                <w:tab w:pos="689" w:val="left" w:leader="none"/>
              </w:tabs>
              <w:spacing w:line="240" w:lineRule="auto" w:before="1" w:after="0"/>
              <w:ind w:left="688" w:right="607" w:hanging="180"/>
              <w:jc w:val="left"/>
              <w:rPr>
                <w:sz w:val="24"/>
              </w:rPr>
            </w:pPr>
            <w:r>
              <w:rPr>
                <w:sz w:val="24"/>
              </w:rPr>
              <w:t>Multi-Family Residential</w:t>
            </w:r>
          </w:p>
          <w:p>
            <w:pPr>
              <w:pStyle w:val="TableParagraph"/>
              <w:numPr>
                <w:ilvl w:val="0"/>
                <w:numId w:val="2"/>
              </w:numPr>
              <w:tabs>
                <w:tab w:pos="689" w:val="left" w:leader="none"/>
              </w:tabs>
              <w:spacing w:line="237" w:lineRule="auto" w:before="2" w:after="0"/>
              <w:ind w:left="688" w:right="243" w:hanging="180"/>
              <w:jc w:val="left"/>
              <w:rPr>
                <w:sz w:val="24"/>
              </w:rPr>
            </w:pPr>
            <w:r>
              <w:rPr>
                <w:sz w:val="24"/>
              </w:rPr>
              <w:t>Accessory Residential</w:t>
            </w:r>
            <w:r>
              <w:rPr>
                <w:spacing w:val="-2"/>
                <w:sz w:val="24"/>
              </w:rPr>
              <w:t> </w:t>
            </w:r>
            <w:r>
              <w:rPr>
                <w:sz w:val="24"/>
              </w:rPr>
              <w:t>Units</w:t>
            </w:r>
          </w:p>
        </w:tc>
        <w:tc>
          <w:tcPr>
            <w:tcW w:w="4347" w:type="dxa"/>
          </w:tcPr>
          <w:p>
            <w:pPr>
              <w:pStyle w:val="TableParagraph"/>
              <w:spacing w:before="7"/>
              <w:rPr>
                <w:sz w:val="23"/>
              </w:rPr>
            </w:pPr>
          </w:p>
          <w:p>
            <w:pPr>
              <w:pStyle w:val="TableParagraph"/>
              <w:ind w:left="1351" w:right="2072"/>
              <w:jc w:val="center"/>
              <w:rPr>
                <w:rFonts w:ascii="Calibri"/>
                <w:b/>
                <w:sz w:val="18"/>
              </w:rPr>
            </w:pPr>
            <w:r>
              <w:rPr>
                <w:rFonts w:ascii="Calibri"/>
                <w:b/>
                <w:sz w:val="18"/>
              </w:rPr>
              <w:t>Public/Civic 10%</w:t>
            </w:r>
          </w:p>
          <w:p>
            <w:pPr>
              <w:pStyle w:val="TableParagraph"/>
              <w:spacing w:before="43"/>
              <w:ind w:left="551" w:right="2954" w:hanging="1"/>
              <w:jc w:val="center"/>
              <w:rPr>
                <w:rFonts w:ascii="Calibri"/>
                <w:b/>
                <w:sz w:val="18"/>
              </w:rPr>
            </w:pPr>
            <w:r>
              <w:rPr>
                <w:rFonts w:ascii="Calibri"/>
                <w:b/>
                <w:sz w:val="18"/>
              </w:rPr>
              <w:t>Non Residential 10%</w:t>
            </w:r>
          </w:p>
          <w:p>
            <w:pPr>
              <w:pStyle w:val="TableParagraph"/>
              <w:rPr>
                <w:sz w:val="18"/>
              </w:rPr>
            </w:pPr>
          </w:p>
          <w:p>
            <w:pPr>
              <w:pStyle w:val="TableParagraph"/>
              <w:rPr>
                <w:sz w:val="18"/>
              </w:rPr>
            </w:pPr>
          </w:p>
          <w:p>
            <w:pPr>
              <w:pStyle w:val="TableParagraph"/>
              <w:rPr>
                <w:sz w:val="18"/>
              </w:rPr>
            </w:pPr>
          </w:p>
          <w:p>
            <w:pPr>
              <w:pStyle w:val="TableParagraph"/>
              <w:spacing w:before="8"/>
              <w:rPr>
                <w:sz w:val="26"/>
              </w:rPr>
            </w:pPr>
          </w:p>
          <w:p>
            <w:pPr>
              <w:pStyle w:val="TableParagraph"/>
              <w:ind w:left="2779" w:right="963" w:hanging="257"/>
              <w:rPr>
                <w:rFonts w:ascii="Calibri"/>
                <w:b/>
                <w:sz w:val="18"/>
              </w:rPr>
            </w:pPr>
            <w:r>
              <w:rPr>
                <w:rFonts w:ascii="Calibri"/>
                <w:b/>
                <w:sz w:val="18"/>
              </w:rPr>
              <w:t>Residential 80%</w:t>
            </w:r>
          </w:p>
          <w:p>
            <w:pPr>
              <w:pStyle w:val="TableParagraph"/>
              <w:rPr>
                <w:sz w:val="18"/>
              </w:rPr>
            </w:pPr>
          </w:p>
          <w:p>
            <w:pPr>
              <w:pStyle w:val="TableParagraph"/>
              <w:spacing w:before="8"/>
              <w:rPr>
                <w:sz w:val="25"/>
              </w:rPr>
            </w:pPr>
          </w:p>
          <w:p>
            <w:pPr>
              <w:pStyle w:val="TableParagraph"/>
              <w:spacing w:line="235" w:lineRule="auto" w:before="1"/>
              <w:ind w:left="550" w:right="1909" w:firstLine="9"/>
              <w:rPr>
                <w:sz w:val="22"/>
              </w:rPr>
            </w:pPr>
            <w:r>
              <w:rPr>
                <w:sz w:val="22"/>
              </w:rPr>
              <w:t>Possible Ranges: Res: 80-90%</w:t>
            </w:r>
          </w:p>
          <w:p>
            <w:pPr>
              <w:pStyle w:val="TableParagraph"/>
              <w:spacing w:line="232" w:lineRule="exact"/>
              <w:ind w:left="550"/>
              <w:rPr>
                <w:sz w:val="22"/>
              </w:rPr>
            </w:pPr>
            <w:r>
              <w:rPr>
                <w:sz w:val="22"/>
              </w:rPr>
              <w:t>Non-Res: 0-10%</w:t>
            </w:r>
          </w:p>
          <w:p>
            <w:pPr>
              <w:pStyle w:val="TableParagraph"/>
              <w:spacing w:line="250" w:lineRule="exact"/>
              <w:ind w:left="531" w:right="2792"/>
              <w:jc w:val="center"/>
              <w:rPr>
                <w:sz w:val="22"/>
              </w:rPr>
            </w:pPr>
            <w:r>
              <w:rPr>
                <w:sz w:val="22"/>
              </w:rPr>
              <w:t>P/C: 10%+</w:t>
            </w:r>
          </w:p>
        </w:tc>
      </w:tr>
    </w:tbl>
    <w:p>
      <w:pPr>
        <w:spacing w:after="0" w:line="250" w:lineRule="exact"/>
        <w:jc w:val="center"/>
        <w:rPr>
          <w:sz w:val="22"/>
        </w:rPr>
        <w:sectPr>
          <w:headerReference w:type="default" r:id="rId20"/>
          <w:pgSz w:w="12240" w:h="15840"/>
          <w:pgMar w:header="719" w:footer="443" w:top="920" w:bottom="740" w:left="0" w:right="0"/>
        </w:sectPr>
      </w:pPr>
    </w:p>
    <w:p>
      <w:pPr>
        <w:pStyle w:val="BodyText"/>
        <w:rPr>
          <w:sz w:val="20"/>
        </w:rPr>
      </w:pPr>
    </w:p>
    <w:p>
      <w:pPr>
        <w:pStyle w:val="Heading3"/>
        <w:spacing w:before="265"/>
        <w:rPr>
          <w:rFonts w:ascii="Times New Roman"/>
        </w:rPr>
      </w:pPr>
      <w:r>
        <w:rPr>
          <w:rFonts w:ascii="Times New Roman"/>
        </w:rPr>
        <w:t>DESIGN CHARACTERISTICS</w:t>
      </w:r>
    </w:p>
    <w:p>
      <w:pPr>
        <w:pStyle w:val="Heading5"/>
        <w:spacing w:line="274" w:lineRule="exact" w:before="163"/>
      </w:pPr>
      <w:r>
        <w:rPr/>
        <w:t>Context</w:t>
      </w:r>
    </w:p>
    <w:p>
      <w:pPr>
        <w:pStyle w:val="BodyText"/>
        <w:ind w:left="1440" w:right="1495"/>
      </w:pPr>
      <w:r>
        <w:rPr/>
        <w:pict>
          <v:shape style="position:absolute;margin-left:72pt;margin-top:33.513134pt;width:336.6pt;height:168pt;mso-position-horizontal-relative:page;mso-position-vertical-relative:paragraph;z-index:3808;mso-wrap-distance-left:0;mso-wrap-distance-right:0" type="#_x0000_t202" filled="false" stroked="true" strokeweight=".75pt" strokecolor="#000000">
            <v:textbox inset="0,0,0,0">
              <w:txbxContent>
                <w:p>
                  <w:pPr>
                    <w:spacing w:before="70"/>
                    <w:ind w:left="144" w:right="0" w:firstLine="0"/>
                    <w:jc w:val="left"/>
                    <w:rPr>
                      <w:b/>
                      <w:sz w:val="22"/>
                    </w:rPr>
                  </w:pPr>
                  <w:r>
                    <w:rPr>
                      <w:b/>
                      <w:sz w:val="22"/>
                    </w:rPr>
                    <w:t>Street Pattern:</w:t>
                  </w:r>
                </w:p>
                <w:p>
                  <w:pPr>
                    <w:spacing w:before="16"/>
                    <w:ind w:left="144" w:right="0" w:firstLine="0"/>
                    <w:jc w:val="left"/>
                    <w:rPr>
                      <w:sz w:val="22"/>
                    </w:rPr>
                  </w:pPr>
                  <w:r>
                    <w:rPr>
                      <w:sz w:val="22"/>
                    </w:rPr>
                    <w:t>Fragmented parallel and warped parallel, limited loops and cul-de-sacs</w:t>
                  </w:r>
                </w:p>
                <w:p>
                  <w:pPr>
                    <w:spacing w:line="259" w:lineRule="auto" w:before="25"/>
                    <w:ind w:left="144" w:right="4844" w:firstLine="0"/>
                    <w:jc w:val="left"/>
                    <w:rPr>
                      <w:b/>
                      <w:sz w:val="22"/>
                    </w:rPr>
                  </w:pPr>
                  <w:r>
                    <w:rPr>
                      <w:b/>
                      <w:sz w:val="22"/>
                    </w:rPr>
                    <w:t>Block Length: </w:t>
                  </w:r>
                  <w:r>
                    <w:rPr>
                      <w:sz w:val="22"/>
                    </w:rPr>
                    <w:t>600-1,500 feet </w:t>
                  </w:r>
                  <w:r>
                    <w:rPr>
                      <w:b/>
                      <w:sz w:val="22"/>
                    </w:rPr>
                    <w:t>Building Setback: </w:t>
                  </w:r>
                  <w:r>
                    <w:rPr>
                      <w:sz w:val="22"/>
                    </w:rPr>
                    <w:t>Shallow to medium </w:t>
                  </w:r>
                  <w:r>
                    <w:rPr>
                      <w:b/>
                      <w:sz w:val="22"/>
                    </w:rPr>
                    <w:t>Parking:</w:t>
                  </w:r>
                </w:p>
                <w:p>
                  <w:pPr>
                    <w:spacing w:line="245" w:lineRule="exact" w:before="0"/>
                    <w:ind w:left="144" w:right="0" w:firstLine="0"/>
                    <w:jc w:val="left"/>
                    <w:rPr>
                      <w:sz w:val="22"/>
                    </w:rPr>
                  </w:pPr>
                  <w:r>
                    <w:rPr>
                      <w:sz w:val="22"/>
                    </w:rPr>
                    <w:t>Driveway, garage, or on-street</w:t>
                  </w:r>
                </w:p>
                <w:p>
                  <w:pPr>
                    <w:spacing w:before="26"/>
                    <w:ind w:left="144" w:right="0" w:firstLine="0"/>
                    <w:jc w:val="left"/>
                    <w:rPr>
                      <w:b/>
                      <w:sz w:val="22"/>
                    </w:rPr>
                  </w:pPr>
                  <w:r>
                    <w:rPr>
                      <w:b/>
                      <w:sz w:val="22"/>
                    </w:rPr>
                    <w:t>Design Amenities:</w:t>
                  </w:r>
                </w:p>
                <w:p>
                  <w:pPr>
                    <w:spacing w:before="16"/>
                    <w:ind w:left="144" w:right="0" w:firstLine="0"/>
                    <w:jc w:val="left"/>
                    <w:rPr>
                      <w:sz w:val="22"/>
                    </w:rPr>
                  </w:pPr>
                  <w:r>
                    <w:rPr>
                      <w:sz w:val="22"/>
                    </w:rPr>
                    <w:t>Sidewalks, street trees, lighting, crosswalks, common open spaces</w:t>
                  </w:r>
                </w:p>
                <w:p>
                  <w:pPr>
                    <w:spacing w:before="26"/>
                    <w:ind w:left="144" w:right="0" w:firstLine="0"/>
                    <w:jc w:val="left"/>
                    <w:rPr>
                      <w:b/>
                      <w:sz w:val="22"/>
                    </w:rPr>
                  </w:pPr>
                  <w:r>
                    <w:rPr>
                      <w:b/>
                      <w:sz w:val="22"/>
                    </w:rPr>
                    <w:t>Open Space:</w:t>
                  </w:r>
                </w:p>
                <w:p>
                  <w:pPr>
                    <w:spacing w:before="13"/>
                    <w:ind w:left="144" w:right="0" w:firstLine="0"/>
                    <w:jc w:val="left"/>
                    <w:rPr>
                      <w:sz w:val="22"/>
                    </w:rPr>
                  </w:pPr>
                  <w:r>
                    <w:rPr>
                      <w:sz w:val="22"/>
                    </w:rPr>
                    <w:t>30% of the site</w:t>
                  </w:r>
                </w:p>
              </w:txbxContent>
            </v:textbox>
            <v:stroke dashstyle="solid"/>
            <w10:wrap type="topAndBottom"/>
          </v:shape>
        </w:pict>
      </w:r>
      <w:r>
        <w:rPr/>
        <w:t>Primarily single family detached and attached residential uses that are integrated in a walkable street pattern.</w:t>
      </w:r>
    </w:p>
    <w:p>
      <w:pPr>
        <w:pStyle w:val="Heading5"/>
        <w:spacing w:line="274" w:lineRule="exact" w:before="78"/>
      </w:pPr>
      <w:r>
        <w:rPr/>
        <w:t>Place Type Rendering</w:t>
      </w:r>
    </w:p>
    <w:p>
      <w:pPr>
        <w:spacing w:line="240" w:lineRule="auto" w:before="0"/>
        <w:ind w:left="1440" w:right="149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5"/>
        <w:tabs>
          <w:tab w:pos="5400" w:val="left" w:leader="none"/>
        </w:tabs>
        <w:ind w:right="3565"/>
      </w:pPr>
      <w:r>
        <w:rPr/>
        <w:t>Residential Density: Up to</w:t>
      </w:r>
      <w:r>
        <w:rPr>
          <w:spacing w:val="-4"/>
        </w:rPr>
        <w:t> </w:t>
      </w:r>
      <w:r>
        <w:rPr/>
        <w:t>6</w:t>
      </w:r>
      <w:r>
        <w:rPr>
          <w:spacing w:val="-1"/>
        </w:rPr>
        <w:t> </w:t>
      </w:r>
      <w:r>
        <w:rPr/>
        <w:t>du/ac</w:t>
        <w:tab/>
        <w:t>Non-Residential FAR: Up to</w:t>
      </w:r>
      <w:r>
        <w:rPr>
          <w:spacing w:val="-9"/>
        </w:rPr>
        <w:t> </w:t>
      </w:r>
      <w:r>
        <w:rPr/>
        <w:t>1.0 Building Height: Up to 4</w:t>
      </w:r>
      <w:r>
        <w:rPr>
          <w:spacing w:val="-5"/>
        </w:rPr>
        <w:t> </w:t>
      </w:r>
      <w:r>
        <w:rPr/>
        <w:t>Stories</w:t>
      </w:r>
    </w:p>
    <w:p>
      <w:pPr>
        <w:pStyle w:val="BodyText"/>
        <w:spacing w:before="3"/>
        <w:rPr>
          <w:b/>
          <w:sz w:val="16"/>
        </w:rPr>
      </w:pPr>
      <w:r>
        <w:rPr/>
        <w:drawing>
          <wp:anchor distT="0" distB="0" distL="0" distR="0" allowOverlap="1" layoutInCell="1" locked="0" behindDoc="0" simplePos="0" relativeHeight="3832">
            <wp:simplePos x="0" y="0"/>
            <wp:positionH relativeFrom="page">
              <wp:posOffset>914400</wp:posOffset>
            </wp:positionH>
            <wp:positionV relativeFrom="paragraph">
              <wp:posOffset>143845</wp:posOffset>
            </wp:positionV>
            <wp:extent cx="3725789" cy="2053589"/>
            <wp:effectExtent l="0" t="0" r="0" b="0"/>
            <wp:wrapTopAndBottom/>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5" cstate="print"/>
                    <a:stretch>
                      <a:fillRect/>
                    </a:stretch>
                  </pic:blipFill>
                  <pic:spPr>
                    <a:xfrm>
                      <a:off x="0" y="0"/>
                      <a:ext cx="3725789" cy="2053589"/>
                    </a:xfrm>
                    <a:prstGeom prst="rect">
                      <a:avLst/>
                    </a:prstGeom>
                  </pic:spPr>
                </pic:pic>
              </a:graphicData>
            </a:graphic>
          </wp:anchor>
        </w:drawing>
      </w:r>
    </w:p>
    <w:p>
      <w:pPr>
        <w:spacing w:before="154"/>
        <w:ind w:left="1440" w:right="0" w:firstLine="0"/>
        <w:jc w:val="left"/>
        <w:rPr>
          <w:b/>
          <w:sz w:val="24"/>
        </w:rPr>
      </w:pPr>
      <w:r>
        <w:rPr>
          <w:b/>
          <w:sz w:val="24"/>
        </w:rPr>
        <w:t>Transition</w:t>
      </w:r>
    </w:p>
    <w:p>
      <w:pPr>
        <w:pStyle w:val="BodyText"/>
        <w:spacing w:line="259" w:lineRule="auto" w:before="18"/>
        <w:ind w:left="1440" w:right="1433"/>
        <w:jc w:val="both"/>
      </w:pPr>
      <w:r>
        <w:rPr>
          <w:color w:val="221F1F"/>
        </w:rPr>
        <w:t>Transitions should be gradual, particularly where natural or man-made buffers are not available. New developments within Suburban Neighborhood areas adjacent to lower-density residential uses should create transitions in building scale and incorporate design elements that soften those transitions. Higher-density residential development can serve as a transitional land use between nonresidential uses and lower-density residential areas. Appropriate transitional techniques include variations in building orientation, height step down, and creative and extensive use of landscaping</w:t>
      </w:r>
      <w:r>
        <w:rPr>
          <w:color w:val="221F1F"/>
          <w:spacing w:val="-9"/>
        </w:rPr>
        <w:t> </w:t>
      </w:r>
      <w:r>
        <w:rPr>
          <w:color w:val="221F1F"/>
        </w:rPr>
        <w:t>and</w:t>
      </w:r>
      <w:r>
        <w:rPr>
          <w:color w:val="221F1F"/>
          <w:spacing w:val="-6"/>
        </w:rPr>
        <w:t> </w:t>
      </w:r>
      <w:r>
        <w:rPr>
          <w:color w:val="221F1F"/>
        </w:rPr>
        <w:t>natural</w:t>
      </w:r>
      <w:r>
        <w:rPr>
          <w:color w:val="221F1F"/>
          <w:spacing w:val="-6"/>
        </w:rPr>
        <w:t> </w:t>
      </w:r>
      <w:r>
        <w:rPr>
          <w:color w:val="221F1F"/>
        </w:rPr>
        <w:t>features.</w:t>
      </w:r>
      <w:r>
        <w:rPr>
          <w:color w:val="221F1F"/>
          <w:spacing w:val="-4"/>
        </w:rPr>
        <w:t> </w:t>
      </w:r>
      <w:r>
        <w:rPr>
          <w:color w:val="221F1F"/>
        </w:rPr>
        <w:t>Fencing</w:t>
      </w:r>
      <w:r>
        <w:rPr>
          <w:color w:val="221F1F"/>
          <w:spacing w:val="-8"/>
        </w:rPr>
        <w:t> </w:t>
      </w:r>
      <w:r>
        <w:rPr>
          <w:color w:val="221F1F"/>
        </w:rPr>
        <w:t>or</w:t>
      </w:r>
      <w:r>
        <w:rPr>
          <w:color w:val="221F1F"/>
          <w:spacing w:val="-7"/>
        </w:rPr>
        <w:t> </w:t>
      </w:r>
      <w:r>
        <w:rPr>
          <w:color w:val="221F1F"/>
        </w:rPr>
        <w:t>other</w:t>
      </w:r>
      <w:r>
        <w:rPr>
          <w:color w:val="221F1F"/>
          <w:spacing w:val="-7"/>
        </w:rPr>
        <w:t> </w:t>
      </w:r>
      <w:r>
        <w:rPr>
          <w:color w:val="221F1F"/>
        </w:rPr>
        <w:t>barriers</w:t>
      </w:r>
      <w:r>
        <w:rPr>
          <w:color w:val="221F1F"/>
          <w:spacing w:val="-6"/>
        </w:rPr>
        <w:t> </w:t>
      </w:r>
      <w:r>
        <w:rPr>
          <w:color w:val="221F1F"/>
        </w:rPr>
        <w:t>should</w:t>
      </w:r>
      <w:r>
        <w:rPr>
          <w:color w:val="221F1F"/>
          <w:spacing w:val="-6"/>
        </w:rPr>
        <w:t> </w:t>
      </w:r>
      <w:r>
        <w:rPr>
          <w:color w:val="221F1F"/>
        </w:rPr>
        <w:t>not</w:t>
      </w:r>
      <w:r>
        <w:rPr>
          <w:color w:val="221F1F"/>
          <w:spacing w:val="-6"/>
        </w:rPr>
        <w:t> </w:t>
      </w:r>
      <w:r>
        <w:rPr>
          <w:color w:val="221F1F"/>
        </w:rPr>
        <w:t>be</w:t>
      </w:r>
      <w:r>
        <w:rPr>
          <w:color w:val="221F1F"/>
          <w:spacing w:val="-7"/>
        </w:rPr>
        <w:t> </w:t>
      </w:r>
      <w:r>
        <w:rPr>
          <w:color w:val="221F1F"/>
        </w:rPr>
        <w:t>used</w:t>
      </w:r>
      <w:r>
        <w:rPr>
          <w:color w:val="221F1F"/>
          <w:spacing w:val="-6"/>
        </w:rPr>
        <w:t> </w:t>
      </w:r>
      <w:r>
        <w:rPr>
          <w:color w:val="221F1F"/>
        </w:rPr>
        <w:t>as</w:t>
      </w:r>
      <w:r>
        <w:rPr>
          <w:color w:val="221F1F"/>
          <w:spacing w:val="-5"/>
        </w:rPr>
        <w:t> </w:t>
      </w:r>
      <w:r>
        <w:rPr>
          <w:color w:val="221F1F"/>
        </w:rPr>
        <w:t>the</w:t>
      </w:r>
      <w:r>
        <w:rPr>
          <w:color w:val="221F1F"/>
          <w:spacing w:val="-7"/>
        </w:rPr>
        <w:t> </w:t>
      </w:r>
      <w:r>
        <w:rPr>
          <w:color w:val="221F1F"/>
        </w:rPr>
        <w:t>sole</w:t>
      </w:r>
      <w:r>
        <w:rPr>
          <w:color w:val="221F1F"/>
          <w:spacing w:val="-7"/>
        </w:rPr>
        <w:t> </w:t>
      </w:r>
      <w:r>
        <w:rPr>
          <w:color w:val="221F1F"/>
        </w:rPr>
        <w:t>means</w:t>
      </w:r>
      <w:r>
        <w:rPr>
          <w:color w:val="221F1F"/>
          <w:spacing w:val="-6"/>
        </w:rPr>
        <w:t> </w:t>
      </w:r>
      <w:r>
        <w:rPr>
          <w:color w:val="221F1F"/>
        </w:rPr>
        <w:t>of screening and</w:t>
      </w:r>
      <w:r>
        <w:rPr>
          <w:color w:val="221F1F"/>
          <w:spacing w:val="-2"/>
        </w:rPr>
        <w:t> </w:t>
      </w:r>
      <w:r>
        <w:rPr>
          <w:color w:val="221F1F"/>
        </w:rPr>
        <w:t>buffering.</w:t>
      </w:r>
    </w:p>
    <w:p>
      <w:pPr>
        <w:spacing w:after="0" w:line="259" w:lineRule="auto"/>
        <w:jc w:val="both"/>
        <w:sectPr>
          <w:pgSz w:w="12240" w:h="15840"/>
          <w:pgMar w:header="719" w:footer="443" w:top="920" w:bottom="740" w:left="0" w:right="0"/>
        </w:sectPr>
      </w:pPr>
    </w:p>
    <w:p>
      <w:pPr>
        <w:pStyle w:val="Heading1"/>
        <w:tabs>
          <w:tab w:pos="1723" w:val="left" w:leader="none"/>
          <w:tab w:pos="11235" w:val="left" w:leader="none"/>
        </w:tabs>
        <w:spacing w:before="84"/>
      </w:pPr>
      <w:r>
        <w:rPr/>
        <w:pict>
          <v:group style="position:absolute;margin-left:401.5pt;margin-top:550.070007pt;width:118.7pt;height:119.5pt;mso-position-horizontal-relative:page;mso-position-vertical-relative:page;z-index:-30376" coordorigin="8030,11001" coordsize="2374,2390">
            <v:shape style="position:absolute;left:8030;top:11017;width:2374;height:2374" coordorigin="8030,11017" coordsize="2374,2374" path="m8519,11244l8459,11290,8403,11340,8350,11393,8301,11449,8256,11507,8214,11569,8177,11632,8143,11698,8114,11766,8089,11836,8068,11907,8051,11980,8040,12053,8032,12128,8030,12204,8032,12279,8039,12353,8051,12425,8066,12496,8086,12566,8110,12633,8138,12699,8169,12762,8204,12823,8243,12882,8285,12939,8330,12992,8378,13043,8429,13091,8482,13136,8539,13178,8598,13217,8659,13252,8722,13283,8788,13311,8855,13335,8925,13355,8996,13370,9068,13382,9142,13389,9217,13391,9292,13389,9366,13382,9438,13370,9509,13355,9579,13335,9646,13311,9712,13283,9775,13252,9836,13217,9895,13178,9952,13136,10005,13091,10056,13043,10104,12992,10149,12939,10191,12882,10230,12823,10245,12797,9229,12797,9159,12795,9090,12784,9022,12765,8957,12738,8895,12703,8837,12660,8784,12610,8737,12553,8697,12490,8666,12424,8643,12356,8629,12286,8624,12216,8626,12146,8637,12077,8656,12009,8683,11944,8718,11882,8761,11824,8811,11771,8868,11724,8519,11244xm9217,11017l9217,11611,9298,11616,9376,11632,9451,11658,9521,11694,9586,11739,9645,11793,9697,11855,9737,11918,9768,11984,9791,12052,9805,12122,9810,12192,9808,12262,9797,12331,9778,12399,9751,12464,9716,12526,9673,12584,9623,12637,9566,12684,9503,12724,9437,12755,9369,12778,9299,12792,9229,12797,10245,12797,10265,12762,10296,12699,10324,12633,10348,12566,10368,12496,10383,12425,10395,12353,10402,12279,10404,12204,10402,12129,10395,12055,10383,11983,10368,11912,10348,11842,10324,11775,10296,11709,10265,11646,10230,11585,10191,11526,10149,11469,10104,11416,10056,11365,10005,11317,9952,11272,9895,11230,9836,11191,9775,11156,9712,11125,9646,11097,9579,11073,9509,11053,9438,11038,9366,11026,9292,11019,9217,11017xe" filled="true" fillcolor="#bcd6ed" stroked="false">
              <v:path arrowok="t"/>
              <v:fill type="solid"/>
            </v:shape>
            <v:shape style="position:absolute;left:8519;top:11017;width:698;height:707" coordorigin="8519,11017" coordsize="698,707" path="m9217,11017l9134,11020,9051,11029,8970,11043,8890,11063,8811,11089,8735,11119,8660,11156,8588,11197,8519,11244,8868,11724,8931,11684,8999,11652,9069,11629,9142,11615,9217,11611,9217,11017xe" filled="true" fillcolor="#5b9bd4" stroked="false">
              <v:path arrowok="t"/>
              <v:fill type="solid"/>
            </v:shape>
            <v:shape style="position:absolute;left:8519;top:11017;width:698;height:707" coordorigin="8519,11017" coordsize="698,707" path="m8519,11244l8588,11197,8660,11156,8735,11119,8811,11089,8890,11063,8970,11043,9051,11029,9134,11020,9217,11017,9217,11611,9142,11615,9069,11629,8999,11652,8931,11684,8868,11724,8519,11244xe" filled="false" stroked="true" strokeweight="1.56pt" strokecolor="#ffffff">
              <v:path arrowok="t"/>
              <v:stroke dashstyle="solid"/>
            </v:shape>
            <v:line style="position:absolute" from="9217,11017" to="9217,11611" stroked="true" strokeweight="1.56pt" strokecolor="#ffffff">
              <v:stroke dashstyle="solid"/>
            </v:line>
            <w10:wrap type="none"/>
          </v:group>
        </w:pict>
      </w:r>
      <w:r>
        <w:rPr>
          <w:color w:val="FFFFFF"/>
          <w:w w:val="100"/>
          <w:shd w:fill="FDD27E" w:color="auto" w:val="clear"/>
        </w:rPr>
        <w:t> </w:t>
      </w:r>
      <w:r>
        <w:rPr>
          <w:color w:val="FFFFFF"/>
          <w:shd w:fill="FDD27E" w:color="auto" w:val="clear"/>
        </w:rPr>
        <w:tab/>
        <w:t>Suburban Compact</w:t>
      </w:r>
      <w:r>
        <w:rPr>
          <w:color w:val="FFFFFF"/>
          <w:spacing w:val="-19"/>
          <w:shd w:fill="FDD27E" w:color="auto" w:val="clear"/>
        </w:rPr>
        <w:t> </w:t>
      </w:r>
      <w:r>
        <w:rPr>
          <w:color w:val="FFFFFF"/>
          <w:shd w:fill="FDD27E" w:color="auto" w:val="clear"/>
        </w:rPr>
        <w:t>Neighborhood</w:t>
        <w:tab/>
      </w:r>
    </w:p>
    <w:p>
      <w:pPr>
        <w:pStyle w:val="BodyText"/>
        <w:spacing w:before="11"/>
        <w:rPr>
          <w:rFonts w:ascii="Ebrima"/>
          <w:b/>
          <w:sz w:val="21"/>
        </w:rPr>
      </w:pPr>
      <w:r>
        <w:rPr/>
        <w:drawing>
          <wp:anchor distT="0" distB="0" distL="0" distR="0" allowOverlap="1" layoutInCell="1" locked="0" behindDoc="0" simplePos="0" relativeHeight="3856">
            <wp:simplePos x="0" y="0"/>
            <wp:positionH relativeFrom="page">
              <wp:posOffset>914400</wp:posOffset>
            </wp:positionH>
            <wp:positionV relativeFrom="paragraph">
              <wp:posOffset>202922</wp:posOffset>
            </wp:positionV>
            <wp:extent cx="3271255" cy="1566386"/>
            <wp:effectExtent l="0" t="0" r="0" b="0"/>
            <wp:wrapTopAndBottom/>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6" cstate="print"/>
                    <a:stretch>
                      <a:fillRect/>
                    </a:stretch>
                  </pic:blipFill>
                  <pic:spPr>
                    <a:xfrm>
                      <a:off x="0" y="0"/>
                      <a:ext cx="3271255" cy="1566386"/>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4293108</wp:posOffset>
            </wp:positionH>
            <wp:positionV relativeFrom="paragraph">
              <wp:posOffset>202287</wp:posOffset>
            </wp:positionV>
            <wp:extent cx="2543013" cy="1557337"/>
            <wp:effectExtent l="0" t="0" r="0" b="0"/>
            <wp:wrapTopAndBottom/>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7" cstate="print"/>
                    <a:stretch>
                      <a:fillRect/>
                    </a:stretch>
                  </pic:blipFill>
                  <pic:spPr>
                    <a:xfrm>
                      <a:off x="0" y="0"/>
                      <a:ext cx="2543013" cy="1557337"/>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914400</wp:posOffset>
            </wp:positionH>
            <wp:positionV relativeFrom="paragraph">
              <wp:posOffset>1900404</wp:posOffset>
            </wp:positionV>
            <wp:extent cx="1974755" cy="1324355"/>
            <wp:effectExtent l="0" t="0" r="0" b="0"/>
            <wp:wrapTopAndBottom/>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28" cstate="print"/>
                    <a:stretch>
                      <a:fillRect/>
                    </a:stretch>
                  </pic:blipFill>
                  <pic:spPr>
                    <a:xfrm>
                      <a:off x="0" y="0"/>
                      <a:ext cx="1974755" cy="1324355"/>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2972689</wp:posOffset>
            </wp:positionH>
            <wp:positionV relativeFrom="paragraph">
              <wp:posOffset>1898372</wp:posOffset>
            </wp:positionV>
            <wp:extent cx="1969338" cy="1316450"/>
            <wp:effectExtent l="0" t="0" r="0" b="0"/>
            <wp:wrapTopAndBottom/>
            <wp:docPr id="19" name="image20.jpeg" descr=""/>
            <wp:cNvGraphicFramePr>
              <a:graphicFrameLocks noChangeAspect="1"/>
            </wp:cNvGraphicFramePr>
            <a:graphic>
              <a:graphicData uri="http://schemas.openxmlformats.org/drawingml/2006/picture">
                <pic:pic>
                  <pic:nvPicPr>
                    <pic:cNvPr id="20" name="image20.jpeg"/>
                    <pic:cNvPicPr/>
                  </pic:nvPicPr>
                  <pic:blipFill>
                    <a:blip r:embed="rId29" cstate="print"/>
                    <a:stretch>
                      <a:fillRect/>
                    </a:stretch>
                  </pic:blipFill>
                  <pic:spPr>
                    <a:xfrm>
                      <a:off x="0" y="0"/>
                      <a:ext cx="1969338" cy="1316450"/>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5025263</wp:posOffset>
            </wp:positionH>
            <wp:positionV relativeFrom="paragraph">
              <wp:posOffset>1898372</wp:posOffset>
            </wp:positionV>
            <wp:extent cx="1850530" cy="1307591"/>
            <wp:effectExtent l="0" t="0" r="0" b="0"/>
            <wp:wrapTopAndBottom/>
            <wp:docPr id="21" name="image21.jpeg" descr=""/>
            <wp:cNvGraphicFramePr>
              <a:graphicFrameLocks noChangeAspect="1"/>
            </wp:cNvGraphicFramePr>
            <a:graphic>
              <a:graphicData uri="http://schemas.openxmlformats.org/drawingml/2006/picture">
                <pic:pic>
                  <pic:nvPicPr>
                    <pic:cNvPr id="22" name="image21.jpeg"/>
                    <pic:cNvPicPr/>
                  </pic:nvPicPr>
                  <pic:blipFill>
                    <a:blip r:embed="rId30" cstate="print"/>
                    <a:stretch>
                      <a:fillRect/>
                    </a:stretch>
                  </pic:blipFill>
                  <pic:spPr>
                    <a:xfrm>
                      <a:off x="0" y="0"/>
                      <a:ext cx="1850530" cy="1307591"/>
                    </a:xfrm>
                    <a:prstGeom prst="rect">
                      <a:avLst/>
                    </a:prstGeom>
                  </pic:spPr>
                </pic:pic>
              </a:graphicData>
            </a:graphic>
          </wp:anchor>
        </w:drawing>
      </w:r>
    </w:p>
    <w:p>
      <w:pPr>
        <w:pStyle w:val="BodyText"/>
        <w:spacing w:before="7"/>
        <w:rPr>
          <w:rFonts w:ascii="Ebrima"/>
          <w:b/>
          <w:sz w:val="10"/>
        </w:rPr>
      </w:pPr>
    </w:p>
    <w:p>
      <w:pPr>
        <w:pStyle w:val="BodyText"/>
        <w:spacing w:line="261" w:lineRule="auto" w:before="40"/>
        <w:ind w:left="1440" w:right="1434"/>
        <w:jc w:val="both"/>
      </w:pPr>
      <w:r>
        <w:rPr>
          <w:color w:val="221F1F"/>
        </w:rPr>
        <w:t>Suburban Compact Neighborhood areas provide opportunities to develop neighborhoods that can take advantage of small infill parcels near traditional suburban neighborhoods or high-density walkable urban neighborhoods, depending on the context of their location. They provide opportunities for a mix of housing types including small-lot patio homes, townhomes, duplexes, and multifamily residences. Accessory residential units are also appropriate for these areas and may consist of apartments in the principal structure, garage apartments, or other outbuildings approved by the County. Open space areas such as parks, trails, community courtyards, and</w:t>
      </w:r>
      <w:r>
        <w:rPr>
          <w:color w:val="221F1F"/>
          <w:spacing w:val="-25"/>
        </w:rPr>
        <w:t> </w:t>
      </w:r>
      <w:r>
        <w:rPr>
          <w:color w:val="221F1F"/>
        </w:rPr>
        <w:t>small public plazas should be integrated into individual site plans. Small-scale offices as well as retail and service uses serving the immediate or routine shopping needs of the immediate</w:t>
      </w:r>
      <w:r>
        <w:rPr>
          <w:color w:val="221F1F"/>
          <w:spacing w:val="-39"/>
        </w:rPr>
        <w:t> </w:t>
      </w:r>
      <w:r>
        <w:rPr>
          <w:color w:val="221F1F"/>
        </w:rPr>
        <w:t>neighborhood (e.g.,</w:t>
      </w:r>
      <w:r>
        <w:rPr>
          <w:color w:val="221F1F"/>
          <w:spacing w:val="-14"/>
        </w:rPr>
        <w:t> </w:t>
      </w:r>
      <w:r>
        <w:rPr>
          <w:color w:val="221F1F"/>
        </w:rPr>
        <w:t>grocery,</w:t>
      </w:r>
      <w:r>
        <w:rPr>
          <w:color w:val="221F1F"/>
          <w:spacing w:val="-14"/>
        </w:rPr>
        <w:t> </w:t>
      </w:r>
      <w:r>
        <w:rPr>
          <w:color w:val="221F1F"/>
        </w:rPr>
        <w:t>drycleaners,</w:t>
      </w:r>
      <w:r>
        <w:rPr>
          <w:color w:val="221F1F"/>
          <w:spacing w:val="-14"/>
        </w:rPr>
        <w:t> </w:t>
      </w:r>
      <w:r>
        <w:rPr>
          <w:color w:val="221F1F"/>
        </w:rPr>
        <w:t>etc.)</w:t>
      </w:r>
      <w:r>
        <w:rPr>
          <w:color w:val="221F1F"/>
          <w:spacing w:val="-14"/>
        </w:rPr>
        <w:t> </w:t>
      </w:r>
      <w:r>
        <w:rPr>
          <w:color w:val="221F1F"/>
        </w:rPr>
        <w:t>could</w:t>
      </w:r>
      <w:r>
        <w:rPr>
          <w:color w:val="221F1F"/>
          <w:spacing w:val="-14"/>
        </w:rPr>
        <w:t> </w:t>
      </w:r>
      <w:r>
        <w:rPr>
          <w:color w:val="221F1F"/>
        </w:rPr>
        <w:t>be</w:t>
      </w:r>
      <w:r>
        <w:rPr>
          <w:color w:val="221F1F"/>
          <w:spacing w:val="-15"/>
        </w:rPr>
        <w:t> </w:t>
      </w:r>
      <w:r>
        <w:rPr>
          <w:color w:val="221F1F"/>
        </w:rPr>
        <w:t>integrated</w:t>
      </w:r>
      <w:r>
        <w:rPr>
          <w:color w:val="221F1F"/>
          <w:spacing w:val="-14"/>
        </w:rPr>
        <w:t> </w:t>
      </w:r>
      <w:r>
        <w:rPr>
          <w:color w:val="221F1F"/>
        </w:rPr>
        <w:t>into</w:t>
      </w:r>
      <w:r>
        <w:rPr>
          <w:color w:val="221F1F"/>
          <w:spacing w:val="-17"/>
        </w:rPr>
        <w:t> </w:t>
      </w:r>
      <w:r>
        <w:rPr>
          <w:color w:val="221F1F"/>
        </w:rPr>
        <w:t>these</w:t>
      </w:r>
      <w:r>
        <w:rPr>
          <w:color w:val="221F1F"/>
          <w:spacing w:val="-16"/>
        </w:rPr>
        <w:t> </w:t>
      </w:r>
      <w:r>
        <w:rPr>
          <w:color w:val="221F1F"/>
        </w:rPr>
        <w:t>neighborhoods.</w:t>
      </w:r>
      <w:r>
        <w:rPr>
          <w:color w:val="221F1F"/>
          <w:spacing w:val="-14"/>
        </w:rPr>
        <w:t> </w:t>
      </w:r>
      <w:r>
        <w:rPr>
          <w:color w:val="221F1F"/>
        </w:rPr>
        <w:t>Development</w:t>
      </w:r>
      <w:r>
        <w:rPr>
          <w:color w:val="221F1F"/>
          <w:spacing w:val="-14"/>
        </w:rPr>
        <w:t> </w:t>
      </w:r>
      <w:r>
        <w:rPr>
          <w:color w:val="221F1F"/>
        </w:rPr>
        <w:t>within this</w:t>
      </w:r>
      <w:r>
        <w:rPr>
          <w:color w:val="221F1F"/>
          <w:spacing w:val="-8"/>
        </w:rPr>
        <w:t> </w:t>
      </w:r>
      <w:r>
        <w:rPr>
          <w:color w:val="221F1F"/>
        </w:rPr>
        <w:t>Place</w:t>
      </w:r>
      <w:r>
        <w:rPr>
          <w:color w:val="221F1F"/>
          <w:spacing w:val="-10"/>
        </w:rPr>
        <w:t> </w:t>
      </w:r>
      <w:r>
        <w:rPr>
          <w:color w:val="221F1F"/>
        </w:rPr>
        <w:t>Type</w:t>
      </w:r>
      <w:r>
        <w:rPr>
          <w:color w:val="221F1F"/>
          <w:spacing w:val="-10"/>
        </w:rPr>
        <w:t> </w:t>
      </w:r>
      <w:r>
        <w:rPr>
          <w:color w:val="221F1F"/>
        </w:rPr>
        <w:t>should</w:t>
      </w:r>
      <w:r>
        <w:rPr>
          <w:color w:val="221F1F"/>
          <w:spacing w:val="-9"/>
        </w:rPr>
        <w:t> </w:t>
      </w:r>
      <w:r>
        <w:rPr>
          <w:color w:val="221F1F"/>
        </w:rPr>
        <w:t>include</w:t>
      </w:r>
      <w:r>
        <w:rPr>
          <w:color w:val="221F1F"/>
          <w:spacing w:val="-9"/>
        </w:rPr>
        <w:t> </w:t>
      </w:r>
      <w:r>
        <w:rPr>
          <w:color w:val="221F1F"/>
        </w:rPr>
        <w:t>a</w:t>
      </w:r>
      <w:r>
        <w:rPr>
          <w:color w:val="221F1F"/>
          <w:spacing w:val="-10"/>
        </w:rPr>
        <w:t> </w:t>
      </w:r>
      <w:r>
        <w:rPr>
          <w:color w:val="221F1F"/>
        </w:rPr>
        <w:t>public</w:t>
      </w:r>
      <w:r>
        <w:rPr>
          <w:color w:val="221F1F"/>
          <w:spacing w:val="-10"/>
        </w:rPr>
        <w:t> </w:t>
      </w:r>
      <w:r>
        <w:rPr>
          <w:color w:val="221F1F"/>
        </w:rPr>
        <w:t>and</w:t>
      </w:r>
      <w:r>
        <w:rPr>
          <w:color w:val="221F1F"/>
          <w:spacing w:val="-9"/>
        </w:rPr>
        <w:t> </w:t>
      </w:r>
      <w:r>
        <w:rPr>
          <w:color w:val="221F1F"/>
        </w:rPr>
        <w:t>civic</w:t>
      </w:r>
      <w:r>
        <w:rPr>
          <w:color w:val="221F1F"/>
          <w:spacing w:val="-10"/>
        </w:rPr>
        <w:t> </w:t>
      </w:r>
      <w:r>
        <w:rPr>
          <w:color w:val="221F1F"/>
        </w:rPr>
        <w:t>component</w:t>
      </w:r>
      <w:r>
        <w:rPr>
          <w:color w:val="221F1F"/>
          <w:spacing w:val="-9"/>
        </w:rPr>
        <w:t> </w:t>
      </w:r>
      <w:r>
        <w:rPr>
          <w:color w:val="221F1F"/>
        </w:rPr>
        <w:t>or</w:t>
      </w:r>
      <w:r>
        <w:rPr>
          <w:color w:val="221F1F"/>
          <w:spacing w:val="-9"/>
        </w:rPr>
        <w:t> </w:t>
      </w:r>
      <w:r>
        <w:rPr>
          <w:color w:val="221F1F"/>
        </w:rPr>
        <w:t>be</w:t>
      </w:r>
      <w:r>
        <w:rPr>
          <w:color w:val="221F1F"/>
          <w:spacing w:val="-10"/>
        </w:rPr>
        <w:t> </w:t>
      </w:r>
      <w:r>
        <w:rPr>
          <w:color w:val="221F1F"/>
        </w:rPr>
        <w:t>located</w:t>
      </w:r>
      <w:r>
        <w:rPr>
          <w:color w:val="221F1F"/>
          <w:spacing w:val="-9"/>
        </w:rPr>
        <w:t> </w:t>
      </w:r>
      <w:r>
        <w:rPr>
          <w:color w:val="221F1F"/>
        </w:rPr>
        <w:t>within</w:t>
      </w:r>
      <w:r>
        <w:rPr>
          <w:color w:val="221F1F"/>
          <w:spacing w:val="-9"/>
        </w:rPr>
        <w:t> </w:t>
      </w:r>
      <w:r>
        <w:rPr>
          <w:color w:val="221F1F"/>
        </w:rPr>
        <w:t>walking</w:t>
      </w:r>
      <w:r>
        <w:rPr>
          <w:color w:val="221F1F"/>
          <w:spacing w:val="-11"/>
        </w:rPr>
        <w:t> </w:t>
      </w:r>
      <w:r>
        <w:rPr>
          <w:color w:val="221F1F"/>
        </w:rPr>
        <w:t>distance of public and civic</w:t>
      </w:r>
      <w:r>
        <w:rPr>
          <w:color w:val="221F1F"/>
          <w:spacing w:val="-3"/>
        </w:rPr>
        <w:t> </w:t>
      </w:r>
      <w:r>
        <w:rPr>
          <w:color w:val="221F1F"/>
        </w:rPr>
        <w:t>amenities.</w:t>
      </w:r>
    </w:p>
    <w:p>
      <w:pPr>
        <w:pStyle w:val="BodyText"/>
        <w:spacing w:before="11"/>
        <w:rPr>
          <w:sz w:val="25"/>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3332"/>
        <w:gridCol w:w="3601"/>
      </w:tblGrid>
      <w:tr>
        <w:trPr>
          <w:trHeight w:val="374" w:hRule="atLeast"/>
        </w:trPr>
        <w:tc>
          <w:tcPr>
            <w:tcW w:w="2696" w:type="dxa"/>
          </w:tcPr>
          <w:p>
            <w:pPr>
              <w:pStyle w:val="TableParagraph"/>
              <w:spacing w:before="44"/>
              <w:ind w:left="410"/>
              <w:rPr>
                <w:b/>
                <w:sz w:val="24"/>
              </w:rPr>
            </w:pPr>
            <w:r>
              <w:rPr>
                <w:b/>
                <w:color w:val="221F1F"/>
                <w:sz w:val="24"/>
              </w:rPr>
              <w:t>Predominant Uses</w:t>
            </w:r>
          </w:p>
        </w:tc>
        <w:tc>
          <w:tcPr>
            <w:tcW w:w="3332" w:type="dxa"/>
          </w:tcPr>
          <w:p>
            <w:pPr>
              <w:pStyle w:val="TableParagraph"/>
              <w:spacing w:before="30"/>
              <w:ind w:left="861"/>
              <w:rPr>
                <w:b/>
                <w:sz w:val="24"/>
              </w:rPr>
            </w:pPr>
            <w:r>
              <w:rPr>
                <w:b/>
                <w:sz w:val="24"/>
              </w:rPr>
              <w:t>S</w:t>
            </w:r>
            <w:r>
              <w:rPr>
                <w:b/>
                <w:color w:val="221F1F"/>
                <w:sz w:val="24"/>
              </w:rPr>
              <w:t>econdary Uses</w:t>
            </w:r>
          </w:p>
        </w:tc>
        <w:tc>
          <w:tcPr>
            <w:tcW w:w="3601" w:type="dxa"/>
          </w:tcPr>
          <w:p>
            <w:pPr>
              <w:pStyle w:val="TableParagraph"/>
              <w:spacing w:before="30"/>
              <w:ind w:left="853"/>
              <w:rPr>
                <w:b/>
                <w:sz w:val="24"/>
              </w:rPr>
            </w:pPr>
            <w:r>
              <w:rPr>
                <w:b/>
                <w:sz w:val="24"/>
              </w:rPr>
              <w:t>Ideal Mix of Uses</w:t>
            </w:r>
          </w:p>
        </w:tc>
      </w:tr>
      <w:tr>
        <w:trPr>
          <w:trHeight w:val="3480" w:hRule="atLeast"/>
        </w:trPr>
        <w:tc>
          <w:tcPr>
            <w:tcW w:w="2696" w:type="dxa"/>
          </w:tcPr>
          <w:p>
            <w:pPr>
              <w:pStyle w:val="TableParagraph"/>
              <w:spacing w:before="4"/>
              <w:rPr>
                <w:sz w:val="20"/>
              </w:rPr>
            </w:pPr>
          </w:p>
          <w:p>
            <w:pPr>
              <w:pStyle w:val="TableParagraph"/>
              <w:numPr>
                <w:ilvl w:val="0"/>
                <w:numId w:val="3"/>
              </w:numPr>
              <w:tabs>
                <w:tab w:pos="743" w:val="left" w:leader="none"/>
                <w:tab w:pos="744" w:val="left" w:leader="none"/>
              </w:tabs>
              <w:spacing w:line="216" w:lineRule="auto" w:before="1" w:after="0"/>
              <w:ind w:left="748" w:right="96" w:hanging="305"/>
              <w:jc w:val="left"/>
              <w:rPr>
                <w:sz w:val="22"/>
              </w:rPr>
            </w:pPr>
            <w:r>
              <w:rPr>
                <w:color w:val="221F1F"/>
                <w:sz w:val="22"/>
              </w:rPr>
              <w:t>Single Family Attached</w:t>
            </w:r>
            <w:r>
              <w:rPr>
                <w:color w:val="221F1F"/>
                <w:spacing w:val="-7"/>
                <w:sz w:val="22"/>
              </w:rPr>
              <w:t> </w:t>
            </w:r>
            <w:r>
              <w:rPr>
                <w:color w:val="221F1F"/>
                <w:sz w:val="22"/>
              </w:rPr>
              <w:t>Residential</w:t>
            </w:r>
          </w:p>
          <w:p>
            <w:pPr>
              <w:pStyle w:val="TableParagraph"/>
              <w:numPr>
                <w:ilvl w:val="0"/>
                <w:numId w:val="3"/>
              </w:numPr>
              <w:tabs>
                <w:tab w:pos="743" w:val="left" w:leader="none"/>
                <w:tab w:pos="744" w:val="left" w:leader="none"/>
              </w:tabs>
              <w:spacing w:line="211" w:lineRule="auto" w:before="4" w:after="0"/>
              <w:ind w:left="748" w:right="697" w:hanging="305"/>
              <w:jc w:val="left"/>
              <w:rPr>
                <w:sz w:val="22"/>
              </w:rPr>
            </w:pPr>
            <w:r>
              <w:rPr>
                <w:color w:val="221F1F"/>
                <w:sz w:val="22"/>
              </w:rPr>
              <w:t>Single Family Detached Residential</w:t>
            </w:r>
          </w:p>
          <w:p>
            <w:pPr>
              <w:pStyle w:val="TableParagraph"/>
              <w:numPr>
                <w:ilvl w:val="0"/>
                <w:numId w:val="3"/>
              </w:numPr>
              <w:tabs>
                <w:tab w:pos="743" w:val="left" w:leader="none"/>
                <w:tab w:pos="744" w:val="left" w:leader="none"/>
              </w:tabs>
              <w:spacing w:line="211" w:lineRule="auto" w:before="5" w:after="0"/>
              <w:ind w:left="748" w:right="755" w:hanging="305"/>
              <w:jc w:val="left"/>
              <w:rPr>
                <w:sz w:val="22"/>
              </w:rPr>
            </w:pPr>
            <w:r>
              <w:rPr>
                <w:color w:val="221F1F"/>
                <w:spacing w:val="-1"/>
                <w:sz w:val="22"/>
              </w:rPr>
              <w:t>Multi-Family </w:t>
            </w:r>
            <w:r>
              <w:rPr>
                <w:color w:val="221F1F"/>
                <w:sz w:val="22"/>
              </w:rPr>
              <w:t>Residential</w:t>
            </w:r>
          </w:p>
        </w:tc>
        <w:tc>
          <w:tcPr>
            <w:tcW w:w="3332" w:type="dxa"/>
          </w:tcPr>
          <w:p>
            <w:pPr>
              <w:pStyle w:val="TableParagraph"/>
              <w:numPr>
                <w:ilvl w:val="0"/>
                <w:numId w:val="4"/>
              </w:numPr>
              <w:tabs>
                <w:tab w:pos="743" w:val="left" w:leader="none"/>
                <w:tab w:pos="744" w:val="left" w:leader="none"/>
              </w:tabs>
              <w:spacing w:line="242" w:lineRule="exact" w:before="214" w:after="0"/>
              <w:ind w:left="748" w:right="0" w:hanging="298"/>
              <w:jc w:val="left"/>
              <w:rPr>
                <w:sz w:val="22"/>
              </w:rPr>
            </w:pPr>
            <w:r>
              <w:rPr>
                <w:sz w:val="22"/>
              </w:rPr>
              <w:t>Office</w:t>
            </w:r>
          </w:p>
          <w:p>
            <w:pPr>
              <w:pStyle w:val="TableParagraph"/>
              <w:numPr>
                <w:ilvl w:val="0"/>
                <w:numId w:val="4"/>
              </w:numPr>
              <w:tabs>
                <w:tab w:pos="743" w:val="left" w:leader="none"/>
                <w:tab w:pos="744" w:val="left" w:leader="none"/>
              </w:tabs>
              <w:spacing w:line="218" w:lineRule="auto" w:before="7" w:after="0"/>
              <w:ind w:left="748" w:right="1109" w:hanging="298"/>
              <w:jc w:val="left"/>
              <w:rPr>
                <w:sz w:val="22"/>
              </w:rPr>
            </w:pPr>
            <w:r>
              <w:rPr>
                <w:sz w:val="22"/>
              </w:rPr>
              <w:t>Retail &amp; Service Commercial</w:t>
            </w:r>
          </w:p>
          <w:p>
            <w:pPr>
              <w:pStyle w:val="TableParagraph"/>
              <w:numPr>
                <w:ilvl w:val="0"/>
                <w:numId w:val="4"/>
              </w:numPr>
              <w:tabs>
                <w:tab w:pos="743" w:val="left" w:leader="none"/>
                <w:tab w:pos="744" w:val="left" w:leader="none"/>
              </w:tabs>
              <w:spacing w:line="218" w:lineRule="auto" w:before="0" w:after="0"/>
              <w:ind w:left="748" w:right="402" w:hanging="298"/>
              <w:jc w:val="left"/>
              <w:rPr>
                <w:sz w:val="22"/>
              </w:rPr>
            </w:pPr>
            <w:r>
              <w:rPr>
                <w:sz w:val="22"/>
              </w:rPr>
              <w:t>Active Adult</w:t>
            </w:r>
            <w:r>
              <w:rPr>
                <w:spacing w:val="-7"/>
                <w:sz w:val="22"/>
              </w:rPr>
              <w:t> </w:t>
            </w:r>
            <w:r>
              <w:rPr>
                <w:sz w:val="22"/>
              </w:rPr>
              <w:t>Retirement Communities</w:t>
            </w:r>
          </w:p>
          <w:p>
            <w:pPr>
              <w:pStyle w:val="TableParagraph"/>
              <w:numPr>
                <w:ilvl w:val="0"/>
                <w:numId w:val="4"/>
              </w:numPr>
              <w:tabs>
                <w:tab w:pos="743" w:val="left" w:leader="none"/>
                <w:tab w:pos="744" w:val="left" w:leader="none"/>
              </w:tabs>
              <w:spacing w:line="218" w:lineRule="auto" w:before="0" w:after="0"/>
              <w:ind w:left="748" w:right="984" w:hanging="298"/>
              <w:jc w:val="left"/>
              <w:rPr>
                <w:sz w:val="22"/>
              </w:rPr>
            </w:pPr>
            <w:r>
              <w:rPr>
                <w:sz w:val="22"/>
              </w:rPr>
              <w:t>Civic, Cultural, &amp; Community</w:t>
            </w:r>
          </w:p>
          <w:p>
            <w:pPr>
              <w:pStyle w:val="TableParagraph"/>
              <w:numPr>
                <w:ilvl w:val="0"/>
                <w:numId w:val="4"/>
              </w:numPr>
              <w:tabs>
                <w:tab w:pos="743" w:val="left" w:leader="none"/>
                <w:tab w:pos="744" w:val="left" w:leader="none"/>
              </w:tabs>
              <w:spacing w:line="224" w:lineRule="exact" w:before="0" w:after="0"/>
              <w:ind w:left="748" w:right="0" w:hanging="298"/>
              <w:jc w:val="left"/>
              <w:rPr>
                <w:sz w:val="22"/>
              </w:rPr>
            </w:pPr>
            <w:r>
              <w:rPr>
                <w:sz w:val="22"/>
              </w:rPr>
              <w:t>Public</w:t>
            </w:r>
            <w:r>
              <w:rPr>
                <w:spacing w:val="-1"/>
                <w:sz w:val="22"/>
              </w:rPr>
              <w:t> </w:t>
            </w:r>
            <w:r>
              <w:rPr>
                <w:sz w:val="22"/>
              </w:rPr>
              <w:t>Facilities</w:t>
            </w:r>
          </w:p>
          <w:p>
            <w:pPr>
              <w:pStyle w:val="TableParagraph"/>
              <w:numPr>
                <w:ilvl w:val="0"/>
                <w:numId w:val="4"/>
              </w:numPr>
              <w:tabs>
                <w:tab w:pos="743" w:val="left" w:leader="none"/>
                <w:tab w:pos="744" w:val="left" w:leader="none"/>
              </w:tabs>
              <w:spacing w:line="216" w:lineRule="auto" w:before="9" w:after="0"/>
              <w:ind w:left="748" w:right="615" w:hanging="298"/>
              <w:jc w:val="left"/>
              <w:rPr>
                <w:sz w:val="22"/>
              </w:rPr>
            </w:pPr>
            <w:r>
              <w:rPr>
                <w:sz w:val="22"/>
              </w:rPr>
              <w:t>Accessory Residential Units</w:t>
            </w:r>
          </w:p>
        </w:tc>
        <w:tc>
          <w:tcPr>
            <w:tcW w:w="3601" w:type="dxa"/>
          </w:tcPr>
          <w:p>
            <w:pPr>
              <w:pStyle w:val="TableParagraph"/>
              <w:spacing w:before="121"/>
              <w:ind w:left="1054" w:right="1705" w:hanging="1"/>
              <w:jc w:val="center"/>
              <w:rPr>
                <w:rFonts w:ascii="Calibri"/>
                <w:b/>
                <w:sz w:val="18"/>
              </w:rPr>
            </w:pPr>
            <w:r>
              <w:rPr>
                <w:rFonts w:ascii="Calibri"/>
                <w:b/>
                <w:sz w:val="18"/>
              </w:rPr>
              <w:t>Non Residential 10%</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9"/>
              <w:ind w:left="1862" w:right="1134" w:hanging="257"/>
              <w:rPr>
                <w:rFonts w:ascii="Calibri"/>
                <w:b/>
                <w:sz w:val="18"/>
              </w:rPr>
            </w:pPr>
            <w:r>
              <w:rPr>
                <w:rFonts w:ascii="Calibri"/>
                <w:b/>
                <w:sz w:val="18"/>
              </w:rPr>
              <w:t>Residential 90%</w:t>
            </w:r>
          </w:p>
          <w:p>
            <w:pPr>
              <w:pStyle w:val="TableParagraph"/>
              <w:spacing w:before="3"/>
              <w:rPr>
                <w:sz w:val="15"/>
              </w:rPr>
            </w:pPr>
          </w:p>
          <w:p>
            <w:pPr>
              <w:pStyle w:val="TableParagraph"/>
              <w:spacing w:line="216" w:lineRule="auto"/>
              <w:ind w:left="740" w:right="1333"/>
              <w:rPr>
                <w:sz w:val="22"/>
              </w:rPr>
            </w:pPr>
            <w:r>
              <w:rPr>
                <w:sz w:val="22"/>
              </w:rPr>
              <w:t>Possible Ranges: Res: 90-100%</w:t>
            </w:r>
          </w:p>
          <w:p>
            <w:pPr>
              <w:pStyle w:val="TableParagraph"/>
              <w:spacing w:line="230" w:lineRule="exact"/>
              <w:ind w:left="565" w:right="1187"/>
              <w:jc w:val="center"/>
              <w:rPr>
                <w:sz w:val="22"/>
              </w:rPr>
            </w:pPr>
            <w:r>
              <w:rPr>
                <w:sz w:val="22"/>
              </w:rPr>
              <w:t>Non-Res: 0-10%</w:t>
            </w:r>
          </w:p>
          <w:p>
            <w:pPr>
              <w:pStyle w:val="TableParagraph"/>
              <w:spacing w:line="235" w:lineRule="exact"/>
              <w:ind w:left="722" w:right="1179"/>
              <w:jc w:val="center"/>
              <w:rPr>
                <w:sz w:val="22"/>
              </w:rPr>
            </w:pPr>
            <w:r>
              <w:rPr>
                <w:sz w:val="22"/>
              </w:rPr>
              <w:t>Public/Civic: 0%+</w:t>
            </w:r>
          </w:p>
        </w:tc>
      </w:tr>
    </w:tbl>
    <w:p>
      <w:pPr>
        <w:spacing w:after="0" w:line="235" w:lineRule="exact"/>
        <w:jc w:val="center"/>
        <w:rPr>
          <w:sz w:val="22"/>
        </w:rPr>
        <w:sectPr>
          <w:pgSz w:w="12240" w:h="15840"/>
          <w:pgMar w:header="719" w:footer="443" w:top="920" w:bottom="740" w:left="0" w:right="0"/>
        </w:sectPr>
      </w:pPr>
    </w:p>
    <w:p>
      <w:pPr>
        <w:pStyle w:val="BodyText"/>
        <w:rPr>
          <w:sz w:val="20"/>
        </w:rPr>
      </w:pPr>
    </w:p>
    <w:p>
      <w:pPr>
        <w:pStyle w:val="Heading3"/>
        <w:spacing w:before="268"/>
        <w:rPr>
          <w:rFonts w:ascii="Times New Roman"/>
        </w:rPr>
      </w:pPr>
      <w:r>
        <w:rPr>
          <w:rFonts w:ascii="Times New Roman"/>
        </w:rPr>
        <w:t>DESIGN CHARACTERISTICS</w:t>
      </w:r>
    </w:p>
    <w:p>
      <w:pPr>
        <w:pStyle w:val="BodyText"/>
        <w:rPr>
          <w:b/>
          <w:sz w:val="26"/>
        </w:rPr>
      </w:pPr>
    </w:p>
    <w:p>
      <w:pPr>
        <w:pStyle w:val="Heading5"/>
      </w:pPr>
      <w:r>
        <w:rPr/>
        <w:t>Context</w:t>
      </w:r>
    </w:p>
    <w:p>
      <w:pPr>
        <w:pStyle w:val="BodyText"/>
        <w:spacing w:line="256" w:lineRule="auto" w:before="17"/>
        <w:ind w:left="1440" w:right="1495"/>
      </w:pPr>
      <w:r>
        <w:rPr/>
        <w:t>Compact residential development </w:t>
      </w:r>
      <w:r>
        <w:rPr>
          <w:color w:val="221F1F"/>
        </w:rPr>
        <w:t>providing opportunities for a variety of unit types that can be designed to fit within or adjacent to surrounding neighborhoods.</w:t>
      </w:r>
    </w:p>
    <w:p>
      <w:pPr>
        <w:pStyle w:val="BodyText"/>
        <w:rPr>
          <w:sz w:val="20"/>
        </w:rPr>
      </w:pPr>
    </w:p>
    <w:p>
      <w:pPr>
        <w:pStyle w:val="BodyText"/>
        <w:spacing w:before="1"/>
        <w:rPr>
          <w:sz w:val="10"/>
        </w:rPr>
      </w:pPr>
      <w:r>
        <w:rPr/>
        <w:pict>
          <v:shape style="position:absolute;margin-left:72pt;margin-top:8.174335pt;width:384pt;height:179.4pt;mso-position-horizontal-relative:page;mso-position-vertical-relative:paragraph;z-index:4000;mso-wrap-distance-left:0;mso-wrap-distance-right:0" type="#_x0000_t202" filled="false" stroked="true" strokeweight=".75pt" strokecolor="#000000">
            <v:textbox inset="0,0,0,0">
              <w:txbxContent>
                <w:p>
                  <w:pPr>
                    <w:spacing w:line="259" w:lineRule="auto" w:before="71"/>
                    <w:ind w:left="144" w:right="5837" w:firstLine="0"/>
                    <w:jc w:val="left"/>
                    <w:rPr>
                      <w:b/>
                      <w:sz w:val="22"/>
                    </w:rPr>
                  </w:pPr>
                  <w:r>
                    <w:rPr>
                      <w:b/>
                      <w:sz w:val="22"/>
                    </w:rPr>
                    <w:t>Street Pattern: </w:t>
                  </w:r>
                  <w:r>
                    <w:rPr>
                      <w:sz w:val="22"/>
                    </w:rPr>
                    <w:t>Rectilinear Grid </w:t>
                  </w:r>
                  <w:r>
                    <w:rPr>
                      <w:b/>
                      <w:sz w:val="22"/>
                    </w:rPr>
                    <w:t>Block Length: </w:t>
                  </w:r>
                  <w:r>
                    <w:rPr>
                      <w:sz w:val="22"/>
                    </w:rPr>
                    <w:t>200-660 feet </w:t>
                  </w:r>
                  <w:r>
                    <w:rPr>
                      <w:b/>
                      <w:sz w:val="22"/>
                    </w:rPr>
                    <w:t>Building Setback: </w:t>
                  </w:r>
                  <w:r>
                    <w:rPr>
                      <w:sz w:val="22"/>
                    </w:rPr>
                    <w:t>Shallow setbacks </w:t>
                  </w:r>
                  <w:r>
                    <w:rPr>
                      <w:b/>
                      <w:sz w:val="22"/>
                    </w:rPr>
                    <w:t>Parking:</w:t>
                  </w:r>
                </w:p>
                <w:p>
                  <w:pPr>
                    <w:spacing w:line="247" w:lineRule="exact" w:before="0"/>
                    <w:ind w:left="144" w:right="0" w:firstLine="0"/>
                    <w:jc w:val="left"/>
                    <w:rPr>
                      <w:sz w:val="22"/>
                    </w:rPr>
                  </w:pPr>
                  <w:r>
                    <w:rPr>
                      <w:sz w:val="22"/>
                    </w:rPr>
                    <w:t>On-street, accessory, alley-oriented parking</w:t>
                  </w:r>
                </w:p>
                <w:p>
                  <w:pPr>
                    <w:spacing w:before="25"/>
                    <w:ind w:left="144" w:right="0" w:firstLine="0"/>
                    <w:jc w:val="left"/>
                    <w:rPr>
                      <w:b/>
                      <w:sz w:val="22"/>
                    </w:rPr>
                  </w:pPr>
                  <w:r>
                    <w:rPr>
                      <w:b/>
                      <w:sz w:val="22"/>
                    </w:rPr>
                    <w:t>Design Amenities:</w:t>
                  </w:r>
                </w:p>
                <w:p>
                  <w:pPr>
                    <w:spacing w:before="16"/>
                    <w:ind w:left="144" w:right="0" w:firstLine="0"/>
                    <w:jc w:val="left"/>
                    <w:rPr>
                      <w:sz w:val="22"/>
                    </w:rPr>
                  </w:pPr>
                  <w:r>
                    <w:rPr>
                      <w:sz w:val="22"/>
                    </w:rPr>
                    <w:t>Sidewalks, street and shade trees, lighting, street furniture, bike racks, crosswalks</w:t>
                  </w:r>
                </w:p>
                <w:p>
                  <w:pPr>
                    <w:spacing w:before="23"/>
                    <w:ind w:left="144" w:right="0" w:firstLine="0"/>
                    <w:jc w:val="left"/>
                    <w:rPr>
                      <w:b/>
                      <w:sz w:val="22"/>
                    </w:rPr>
                  </w:pPr>
                  <w:r>
                    <w:rPr>
                      <w:b/>
                      <w:sz w:val="22"/>
                    </w:rPr>
                    <w:t>Open Space:</w:t>
                  </w:r>
                </w:p>
                <w:p>
                  <w:pPr>
                    <w:spacing w:before="16"/>
                    <w:ind w:left="144" w:right="0" w:firstLine="0"/>
                    <w:jc w:val="left"/>
                    <w:rPr>
                      <w:sz w:val="22"/>
                    </w:rPr>
                  </w:pPr>
                  <w:r>
                    <w:rPr>
                      <w:sz w:val="22"/>
                    </w:rPr>
                    <w:t>15% of the site</w:t>
                  </w:r>
                </w:p>
              </w:txbxContent>
            </v:textbox>
            <v:stroke dashstyle="solid"/>
            <w10:wrap type="topAndBottom"/>
          </v:shape>
        </w:pict>
      </w:r>
    </w:p>
    <w:p>
      <w:pPr>
        <w:pStyle w:val="BodyText"/>
        <w:spacing w:before="2"/>
        <w:rPr>
          <w:sz w:val="25"/>
        </w:rPr>
      </w:pPr>
    </w:p>
    <w:p>
      <w:pPr>
        <w:pStyle w:val="Heading5"/>
        <w:spacing w:line="274" w:lineRule="exact"/>
      </w:pPr>
      <w:r>
        <w:rPr/>
        <w:t>Place Type Rendering</w:t>
      </w:r>
    </w:p>
    <w:p>
      <w:pPr>
        <w:spacing w:line="240" w:lineRule="auto" w:before="0"/>
        <w:ind w:left="1440" w:right="149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5"/>
        <w:tabs>
          <w:tab w:pos="5760" w:val="left" w:leader="none"/>
        </w:tabs>
        <w:spacing w:before="1"/>
        <w:ind w:right="2744"/>
      </w:pPr>
      <w:r>
        <w:rPr/>
        <w:t>Residential Density:</w:t>
      </w:r>
      <w:r>
        <w:rPr>
          <w:spacing w:val="-3"/>
        </w:rPr>
        <w:t> </w:t>
      </w:r>
      <w:r>
        <w:rPr/>
        <w:t>8-24</w:t>
      </w:r>
      <w:r>
        <w:rPr>
          <w:spacing w:val="-1"/>
        </w:rPr>
        <w:t> </w:t>
      </w:r>
      <w:r>
        <w:rPr/>
        <w:t>du/ac</w:t>
        <w:tab/>
        <w:t>Total Nonresidential FAR: Up to 1.0 Building Height: Up to 4</w:t>
      </w:r>
      <w:r>
        <w:rPr>
          <w:spacing w:val="-5"/>
        </w:rPr>
        <w:t> </w:t>
      </w:r>
      <w:r>
        <w:rPr/>
        <w:t>stories</w:t>
      </w:r>
    </w:p>
    <w:p>
      <w:pPr>
        <w:pStyle w:val="BodyText"/>
        <w:spacing w:before="8"/>
        <w:rPr>
          <w:b/>
          <w:sz w:val="17"/>
        </w:rPr>
      </w:pPr>
      <w:r>
        <w:rPr/>
        <w:drawing>
          <wp:anchor distT="0" distB="0" distL="0" distR="0" allowOverlap="1" layoutInCell="1" locked="0" behindDoc="0" simplePos="0" relativeHeight="4024">
            <wp:simplePos x="0" y="0"/>
            <wp:positionH relativeFrom="page">
              <wp:posOffset>914400</wp:posOffset>
            </wp:positionH>
            <wp:positionV relativeFrom="paragraph">
              <wp:posOffset>154465</wp:posOffset>
            </wp:positionV>
            <wp:extent cx="3313703" cy="1830705"/>
            <wp:effectExtent l="0" t="0" r="0" b="0"/>
            <wp:wrapTopAndBottom/>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31" cstate="print"/>
                    <a:stretch>
                      <a:fillRect/>
                    </a:stretch>
                  </pic:blipFill>
                  <pic:spPr>
                    <a:xfrm>
                      <a:off x="0" y="0"/>
                      <a:ext cx="3313703" cy="1830705"/>
                    </a:xfrm>
                    <a:prstGeom prst="rect">
                      <a:avLst/>
                    </a:prstGeom>
                  </pic:spPr>
                </pic:pic>
              </a:graphicData>
            </a:graphic>
          </wp:anchor>
        </w:drawing>
      </w:r>
    </w:p>
    <w:p>
      <w:pPr>
        <w:pStyle w:val="BodyText"/>
        <w:spacing w:before="7"/>
        <w:rPr>
          <w:b/>
          <w:sz w:val="21"/>
        </w:rPr>
      </w:pPr>
    </w:p>
    <w:p>
      <w:pPr>
        <w:spacing w:line="274" w:lineRule="exact" w:before="0"/>
        <w:ind w:left="1440" w:right="0" w:firstLine="0"/>
        <w:jc w:val="left"/>
        <w:rPr>
          <w:b/>
          <w:sz w:val="24"/>
        </w:rPr>
      </w:pPr>
      <w:r>
        <w:rPr>
          <w:b/>
          <w:sz w:val="24"/>
        </w:rPr>
        <w:t>Transition</w:t>
      </w:r>
    </w:p>
    <w:p>
      <w:pPr>
        <w:pStyle w:val="BodyText"/>
        <w:ind w:left="1440" w:right="1436"/>
        <w:jc w:val="both"/>
      </w:pPr>
      <w:r>
        <w:rPr>
          <w:color w:val="221F1F"/>
        </w:rPr>
        <w:t>Appropriate transitional methods should be implemented where new development abuts more intensive nonresidential uses or less intensive residential uses. New high-density and large-scale infill within Suburban Compact Neighborhood areas adjacent to lower density residential uses should create transitions in building scale and incorporate design elements that soften those transitions. Appropriate transitional techniques include variations in building orientation, height step down, and creative and extensive use of landscaping and natural features.</w:t>
      </w:r>
    </w:p>
    <w:p>
      <w:pPr>
        <w:spacing w:after="0"/>
        <w:jc w:val="both"/>
        <w:sectPr>
          <w:pgSz w:w="12240" w:h="15840"/>
          <w:pgMar w:header="719" w:footer="443" w:top="920" w:bottom="740" w:left="0" w:right="0"/>
        </w:sectPr>
      </w:pPr>
    </w:p>
    <w:p>
      <w:pPr>
        <w:pStyle w:val="Heading1"/>
        <w:tabs>
          <w:tab w:pos="1913" w:val="left" w:leader="none"/>
          <w:tab w:pos="11424" w:val="left" w:leader="none"/>
        </w:tabs>
        <w:ind w:left="1194"/>
      </w:pPr>
      <w:r>
        <w:rPr>
          <w:color w:val="FFFFFF"/>
          <w:w w:val="100"/>
          <w:shd w:fill="E600A9" w:color="auto" w:val="clear"/>
        </w:rPr>
        <w:t> </w:t>
      </w:r>
      <w:r>
        <w:rPr>
          <w:color w:val="FFFFFF"/>
          <w:shd w:fill="E600A9" w:color="auto" w:val="clear"/>
        </w:rPr>
        <w:tab/>
        <w:t>Suburban Mixed</w:t>
      </w:r>
      <w:r>
        <w:rPr>
          <w:color w:val="FFFFFF"/>
          <w:spacing w:val="-9"/>
          <w:shd w:fill="E600A9" w:color="auto" w:val="clear"/>
        </w:rPr>
        <w:t> </w:t>
      </w:r>
      <w:r>
        <w:rPr>
          <w:color w:val="FFFFFF"/>
          <w:shd w:fill="E600A9" w:color="auto" w:val="clear"/>
        </w:rPr>
        <w:t>Use</w:t>
        <w:tab/>
      </w:r>
    </w:p>
    <w:p>
      <w:pPr>
        <w:pStyle w:val="BodyText"/>
        <w:spacing w:before="2"/>
        <w:rPr>
          <w:rFonts w:ascii="Ebrima"/>
          <w:b/>
          <w:sz w:val="17"/>
        </w:rPr>
      </w:pPr>
      <w:r>
        <w:rPr/>
        <w:drawing>
          <wp:anchor distT="0" distB="0" distL="0" distR="0" allowOverlap="1" layoutInCell="1" locked="0" behindDoc="0" simplePos="0" relativeHeight="4048">
            <wp:simplePos x="0" y="0"/>
            <wp:positionH relativeFrom="page">
              <wp:posOffset>914400</wp:posOffset>
            </wp:positionH>
            <wp:positionV relativeFrom="paragraph">
              <wp:posOffset>178157</wp:posOffset>
            </wp:positionV>
            <wp:extent cx="2185779" cy="1093851"/>
            <wp:effectExtent l="0" t="0" r="0" b="0"/>
            <wp:wrapTopAndBottom/>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32" cstate="print"/>
                    <a:stretch>
                      <a:fillRect/>
                    </a:stretch>
                  </pic:blipFill>
                  <pic:spPr>
                    <a:xfrm>
                      <a:off x="0" y="0"/>
                      <a:ext cx="2185779" cy="1093851"/>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3322320</wp:posOffset>
            </wp:positionH>
            <wp:positionV relativeFrom="paragraph">
              <wp:posOffset>194667</wp:posOffset>
            </wp:positionV>
            <wp:extent cx="1615310" cy="1077086"/>
            <wp:effectExtent l="0" t="0" r="0" b="0"/>
            <wp:wrapTopAndBottom/>
            <wp:docPr id="27" name="image24.jpeg" descr=""/>
            <wp:cNvGraphicFramePr>
              <a:graphicFrameLocks noChangeAspect="1"/>
            </wp:cNvGraphicFramePr>
            <a:graphic>
              <a:graphicData uri="http://schemas.openxmlformats.org/drawingml/2006/picture">
                <pic:pic>
                  <pic:nvPicPr>
                    <pic:cNvPr id="28" name="image24.jpeg"/>
                    <pic:cNvPicPr/>
                  </pic:nvPicPr>
                  <pic:blipFill>
                    <a:blip r:embed="rId33" cstate="print"/>
                    <a:stretch>
                      <a:fillRect/>
                    </a:stretch>
                  </pic:blipFill>
                  <pic:spPr>
                    <a:xfrm>
                      <a:off x="0" y="0"/>
                      <a:ext cx="1615310" cy="1077086"/>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5212079</wp:posOffset>
            </wp:positionH>
            <wp:positionV relativeFrom="paragraph">
              <wp:posOffset>164187</wp:posOffset>
            </wp:positionV>
            <wp:extent cx="1659635" cy="1106424"/>
            <wp:effectExtent l="0" t="0" r="0" b="0"/>
            <wp:wrapTopAndBottom/>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34" cstate="print"/>
                    <a:stretch>
                      <a:fillRect/>
                    </a:stretch>
                  </pic:blipFill>
                  <pic:spPr>
                    <a:xfrm>
                      <a:off x="0" y="0"/>
                      <a:ext cx="1659635" cy="1106424"/>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1805939</wp:posOffset>
            </wp:positionH>
            <wp:positionV relativeFrom="paragraph">
              <wp:posOffset>1395452</wp:posOffset>
            </wp:positionV>
            <wp:extent cx="2331719" cy="932688"/>
            <wp:effectExtent l="0" t="0" r="0" b="0"/>
            <wp:wrapTopAndBottom/>
            <wp:docPr id="31" name="image26.jpeg" descr=""/>
            <wp:cNvGraphicFramePr>
              <a:graphicFrameLocks noChangeAspect="1"/>
            </wp:cNvGraphicFramePr>
            <a:graphic>
              <a:graphicData uri="http://schemas.openxmlformats.org/drawingml/2006/picture">
                <pic:pic>
                  <pic:nvPicPr>
                    <pic:cNvPr id="32" name="image26.jpeg"/>
                    <pic:cNvPicPr/>
                  </pic:nvPicPr>
                  <pic:blipFill>
                    <a:blip r:embed="rId35" cstate="print"/>
                    <a:stretch>
                      <a:fillRect/>
                    </a:stretch>
                  </pic:blipFill>
                  <pic:spPr>
                    <a:xfrm>
                      <a:off x="0" y="0"/>
                      <a:ext cx="2331719" cy="932688"/>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4526279</wp:posOffset>
            </wp:positionH>
            <wp:positionV relativeFrom="paragraph">
              <wp:posOffset>1387832</wp:posOffset>
            </wp:positionV>
            <wp:extent cx="1445894" cy="963929"/>
            <wp:effectExtent l="0" t="0" r="0" b="0"/>
            <wp:wrapTopAndBottom/>
            <wp:docPr id="33" name="image27.jpeg" descr=""/>
            <wp:cNvGraphicFramePr>
              <a:graphicFrameLocks noChangeAspect="1"/>
            </wp:cNvGraphicFramePr>
            <a:graphic>
              <a:graphicData uri="http://schemas.openxmlformats.org/drawingml/2006/picture">
                <pic:pic>
                  <pic:nvPicPr>
                    <pic:cNvPr id="34" name="image27.jpeg"/>
                    <pic:cNvPicPr/>
                  </pic:nvPicPr>
                  <pic:blipFill>
                    <a:blip r:embed="rId36" cstate="print"/>
                    <a:stretch>
                      <a:fillRect/>
                    </a:stretch>
                  </pic:blipFill>
                  <pic:spPr>
                    <a:xfrm>
                      <a:off x="0" y="0"/>
                      <a:ext cx="1445894" cy="963929"/>
                    </a:xfrm>
                    <a:prstGeom prst="rect">
                      <a:avLst/>
                    </a:prstGeom>
                  </pic:spPr>
                </pic:pic>
              </a:graphicData>
            </a:graphic>
          </wp:anchor>
        </w:drawing>
      </w:r>
    </w:p>
    <w:p>
      <w:pPr>
        <w:pStyle w:val="BodyText"/>
        <w:spacing w:before="12"/>
        <w:rPr>
          <w:rFonts w:ascii="Ebrima"/>
          <w:b/>
          <w:sz w:val="8"/>
        </w:rPr>
      </w:pPr>
    </w:p>
    <w:p>
      <w:pPr>
        <w:pStyle w:val="BodyText"/>
        <w:spacing w:line="259" w:lineRule="auto" w:before="70"/>
        <w:ind w:left="1440" w:right="1434"/>
        <w:jc w:val="both"/>
      </w:pPr>
      <w:r>
        <w:rPr/>
        <w:t>Suburban</w:t>
      </w:r>
      <w:r>
        <w:rPr>
          <w:spacing w:val="-7"/>
        </w:rPr>
        <w:t> </w:t>
      </w:r>
      <w:r>
        <w:rPr/>
        <w:t>Mixed</w:t>
      </w:r>
      <w:r>
        <w:rPr>
          <w:spacing w:val="-7"/>
        </w:rPr>
        <w:t> </w:t>
      </w:r>
      <w:r>
        <w:rPr/>
        <w:t>Use</w:t>
      </w:r>
      <w:r>
        <w:rPr>
          <w:spacing w:val="-8"/>
        </w:rPr>
        <w:t> </w:t>
      </w:r>
      <w:r>
        <w:rPr/>
        <w:t>areas</w:t>
      </w:r>
      <w:r>
        <w:rPr>
          <w:spacing w:val="-6"/>
        </w:rPr>
        <w:t> </w:t>
      </w:r>
      <w:r>
        <w:rPr/>
        <w:t>provide</w:t>
      </w:r>
      <w:r>
        <w:rPr>
          <w:spacing w:val="-8"/>
        </w:rPr>
        <w:t> </w:t>
      </w:r>
      <w:r>
        <w:rPr/>
        <w:t>compact,</w:t>
      </w:r>
      <w:r>
        <w:rPr>
          <w:spacing w:val="-7"/>
        </w:rPr>
        <w:t> </w:t>
      </w:r>
      <w:r>
        <w:rPr/>
        <w:t>pedestrian-oriented</w:t>
      </w:r>
      <w:r>
        <w:rPr>
          <w:spacing w:val="-8"/>
        </w:rPr>
        <w:t> </w:t>
      </w:r>
      <w:r>
        <w:rPr/>
        <w:t>environments</w:t>
      </w:r>
      <w:r>
        <w:rPr>
          <w:spacing w:val="-7"/>
        </w:rPr>
        <w:t> </w:t>
      </w:r>
      <w:r>
        <w:rPr/>
        <w:t>with</w:t>
      </w:r>
      <w:r>
        <w:rPr>
          <w:spacing w:val="-6"/>
        </w:rPr>
        <w:t> </w:t>
      </w:r>
      <w:r>
        <w:rPr/>
        <w:t>opportunities for</w:t>
      </w:r>
      <w:r>
        <w:rPr>
          <w:spacing w:val="-9"/>
        </w:rPr>
        <w:t> </w:t>
      </w:r>
      <w:r>
        <w:rPr/>
        <w:t>a</w:t>
      </w:r>
      <w:r>
        <w:rPr>
          <w:spacing w:val="-8"/>
        </w:rPr>
        <w:t> </w:t>
      </w:r>
      <w:r>
        <w:rPr/>
        <w:t>mix</w:t>
      </w:r>
      <w:r>
        <w:rPr>
          <w:spacing w:val="-5"/>
        </w:rPr>
        <w:t> </w:t>
      </w:r>
      <w:r>
        <w:rPr/>
        <w:t>of</w:t>
      </w:r>
      <w:r>
        <w:rPr>
          <w:spacing w:val="-8"/>
        </w:rPr>
        <w:t> </w:t>
      </w:r>
      <w:r>
        <w:rPr/>
        <w:t>residential,</w:t>
      </w:r>
      <w:r>
        <w:rPr>
          <w:spacing w:val="-7"/>
        </w:rPr>
        <w:t> </w:t>
      </w:r>
      <w:r>
        <w:rPr/>
        <w:t>commercial,</w:t>
      </w:r>
      <w:r>
        <w:rPr>
          <w:spacing w:val="-7"/>
        </w:rPr>
        <w:t> </w:t>
      </w:r>
      <w:r>
        <w:rPr/>
        <w:t>entertainment,</w:t>
      </w:r>
      <w:r>
        <w:rPr>
          <w:spacing w:val="-7"/>
        </w:rPr>
        <w:t> </w:t>
      </w:r>
      <w:r>
        <w:rPr/>
        <w:t>cultural,</w:t>
      </w:r>
      <w:r>
        <w:rPr>
          <w:spacing w:val="-7"/>
        </w:rPr>
        <w:t> </w:t>
      </w:r>
      <w:r>
        <w:rPr/>
        <w:t>and</w:t>
      </w:r>
      <w:r>
        <w:rPr>
          <w:spacing w:val="-7"/>
        </w:rPr>
        <w:t> </w:t>
      </w:r>
      <w:r>
        <w:rPr/>
        <w:t>recreational</w:t>
      </w:r>
      <w:r>
        <w:rPr>
          <w:spacing w:val="-7"/>
        </w:rPr>
        <w:t> </w:t>
      </w:r>
      <w:r>
        <w:rPr/>
        <w:t>amenities.</w:t>
      </w:r>
      <w:r>
        <w:rPr>
          <w:spacing w:val="-3"/>
        </w:rPr>
        <w:t> </w:t>
      </w:r>
      <w:r>
        <w:rPr/>
        <w:t>Although this</w:t>
      </w:r>
      <w:r>
        <w:rPr>
          <w:spacing w:val="-4"/>
        </w:rPr>
        <w:t> </w:t>
      </w:r>
      <w:r>
        <w:rPr/>
        <w:t>area</w:t>
      </w:r>
      <w:r>
        <w:rPr>
          <w:spacing w:val="-5"/>
        </w:rPr>
        <w:t> </w:t>
      </w:r>
      <w:r>
        <w:rPr/>
        <w:t>provides</w:t>
      </w:r>
      <w:r>
        <w:rPr>
          <w:spacing w:val="-4"/>
        </w:rPr>
        <w:t> </w:t>
      </w:r>
      <w:r>
        <w:rPr/>
        <w:t>for</w:t>
      </w:r>
      <w:r>
        <w:rPr>
          <w:spacing w:val="-3"/>
        </w:rPr>
        <w:t> </w:t>
      </w:r>
      <w:r>
        <w:rPr/>
        <w:t>residential</w:t>
      </w:r>
      <w:r>
        <w:rPr>
          <w:spacing w:val="-3"/>
        </w:rPr>
        <w:t> </w:t>
      </w:r>
      <w:r>
        <w:rPr/>
        <w:t>uses,</w:t>
      </w:r>
      <w:r>
        <w:rPr>
          <w:spacing w:val="-4"/>
        </w:rPr>
        <w:t> </w:t>
      </w:r>
      <w:r>
        <w:rPr/>
        <w:t>commercial</w:t>
      </w:r>
      <w:r>
        <w:rPr>
          <w:spacing w:val="-1"/>
        </w:rPr>
        <w:t> </w:t>
      </w:r>
      <w:r>
        <w:rPr/>
        <w:t>and</w:t>
      </w:r>
      <w:r>
        <w:rPr>
          <w:spacing w:val="-4"/>
        </w:rPr>
        <w:t> </w:t>
      </w:r>
      <w:r>
        <w:rPr/>
        <w:t>entertainment</w:t>
      </w:r>
      <w:r>
        <w:rPr>
          <w:spacing w:val="-1"/>
        </w:rPr>
        <w:t> </w:t>
      </w:r>
      <w:r>
        <w:rPr/>
        <w:t>uses</w:t>
      </w:r>
      <w:r>
        <w:rPr>
          <w:spacing w:val="-4"/>
        </w:rPr>
        <w:t> </w:t>
      </w:r>
      <w:r>
        <w:rPr/>
        <w:t>are</w:t>
      </w:r>
      <w:r>
        <w:rPr>
          <w:spacing w:val="-5"/>
        </w:rPr>
        <w:t> </w:t>
      </w:r>
      <w:r>
        <w:rPr/>
        <w:t>the</w:t>
      </w:r>
      <w:r>
        <w:rPr>
          <w:spacing w:val="-4"/>
        </w:rPr>
        <w:t> </w:t>
      </w:r>
      <w:r>
        <w:rPr/>
        <w:t>primary</w:t>
      </w:r>
      <w:r>
        <w:rPr>
          <w:spacing w:val="-9"/>
        </w:rPr>
        <w:t> </w:t>
      </w:r>
      <w:r>
        <w:rPr/>
        <w:t>draw</w:t>
      </w:r>
      <w:r>
        <w:rPr>
          <w:spacing w:val="-2"/>
        </w:rPr>
        <w:t> </w:t>
      </w:r>
      <w:r>
        <w:rPr/>
        <w:t>to the mixed-use center. Reducing the distance between home, work, and entertainment/retail destinations, Suburban Mixed Use areas serve as logical locations for transit stops. Accessory residential units are also appropriate for the area and may consist of apartments in the principal structure, garage apartments, or other outbuildings approved by the County. Within this Place Type, mixed-use developments with increased densities and greater ranges of uses than</w:t>
      </w:r>
      <w:r>
        <w:rPr>
          <w:spacing w:val="-38"/>
        </w:rPr>
        <w:t> </w:t>
      </w:r>
      <w:r>
        <w:rPr/>
        <w:t>otherwise allowed for Suburban Mixed Use may be appropriate on sites 150 or more acres in</w:t>
      </w:r>
      <w:r>
        <w:rPr>
          <w:spacing w:val="-9"/>
        </w:rPr>
        <w:t> </w:t>
      </w:r>
      <w:r>
        <w:rPr/>
        <w:t>area.</w:t>
      </w:r>
    </w:p>
    <w:p>
      <w:pPr>
        <w:pStyle w:val="BodyText"/>
        <w:spacing w:line="259" w:lineRule="auto" w:before="160"/>
        <w:ind w:left="1440" w:right="1438"/>
        <w:jc w:val="both"/>
      </w:pPr>
      <w:r>
        <w:rPr/>
        <w:pict>
          <v:group style="position:absolute;margin-left:406.712402pt;margin-top:123.563133pt;width:117.25pt;height:117.25pt;mso-position-horizontal-relative:page;mso-position-vertical-relative:paragraph;z-index:-30184" coordorigin="8134,2471" coordsize="2345,2345">
            <v:shape style="position:absolute;left:8629;top:2486;width:1849;height:2329" coordorigin="8630,2487" coordsize="1849,2329" path="m8972,4122l8630,4593,8698,4639,8768,4680,8841,4715,8916,4745,8993,4770,9072,4790,9152,4804,9233,4813,9314,4816,9391,4813,9466,4806,9540,4794,9612,4777,9682,4756,9751,4731,9817,4702,9881,4669,9943,4632,10002,4591,10058,4547,10112,4499,10162,4449,10210,4395,10254,4339,10295,4280,10322,4233,9302,4233,9234,4228,9165,4214,9098,4192,9034,4162,8972,4122xm9314,2487l9314,3069,9387,3074,9459,3087,9528,3110,9594,3141,9656,3180,9713,3227,9762,3279,9804,3336,9838,3396,9864,3460,9883,3526,9894,3594,9896,3663,9891,3732,9877,3800,9855,3867,9824,3932,9785,3993,9739,4050,9687,4099,9630,4141,9569,4175,9505,4201,9439,4220,9371,4231,9302,4233,10322,4233,10332,4218,10365,4154,10394,4088,10419,4019,10440,3949,10457,3877,10469,3803,10476,3728,10479,3651,10476,3575,10469,3499,10457,3426,10440,3354,10419,3283,10394,3215,10365,3149,10332,3084,10295,3023,10254,2964,10210,2907,10162,2854,10112,2803,10058,2756,10002,2712,9943,2671,9881,2634,9817,2601,9751,2571,9682,2546,9612,2525,9540,2509,9466,2497,9391,2489,9314,2487xe" filled="true" fillcolor="#bcd6ed" stroked="false">
              <v:path arrowok="t"/>
              <v:fill type="solid"/>
            </v:shape>
            <v:shape style="position:absolute;left:8149;top:2543;width:985;height:2050" coordorigin="8150,2544" coordsize="985,2050" path="m8954,2544l8878,2572,8803,2605,8732,2643,8663,2686,8598,2734,8535,2786,8477,2842,8423,2902,8372,2967,8329,3030,8291,3095,8257,3162,8228,3230,8204,3299,8184,3370,8169,3440,8158,3512,8152,3584,8150,3655,8152,3727,8159,3798,8170,3869,8186,3938,8206,4007,8230,4075,8258,4141,8290,4206,8326,4268,8367,4329,8412,4387,8460,4443,8513,4496,8569,4546,8630,4593,8972,4122,8915,4075,8866,4022,8823,3963,8788,3899,8761,3831,8742,3760,8733,3689,8733,3619,8741,3550,8757,3483,8781,3418,8812,3357,8850,3299,8895,3247,8946,3200,9004,3159,9066,3124,9134,3097,8954,2544xe" filled="true" fillcolor="#5b9bd4" stroked="false">
              <v:path arrowok="t"/>
              <v:fill type="solid"/>
            </v:shape>
            <v:shape style="position:absolute;left:8149;top:2543;width:985;height:2050" coordorigin="8150,2544" coordsize="985,2050" path="m8630,4593l8569,4546,8513,4496,8460,4443,8412,4387,8367,4329,8326,4268,8290,4206,8258,4141,8230,4075,8206,4007,8186,3938,8170,3869,8159,3798,8152,3727,8150,3655,8152,3584,8158,3512,8169,3440,8184,3370,8204,3299,8228,3230,8257,3162,8291,3095,8329,3030,8372,2967,8423,2902,8477,2842,8535,2786,8598,2734,8663,2686,8732,2643,8803,2605,8878,2572,8954,2544,9134,3097,9066,3124,9004,3159,8946,3200,8895,3247,8850,3299,8812,3357,8781,3418,8757,3483,8741,3550,8733,3619,8733,3689,8742,3760,8761,3831,8788,3899,8823,3963,8866,4022,8915,4075,8972,4122,8630,4593xe" filled="false" stroked="true" strokeweight="1.56pt" strokecolor="#ffffff">
              <v:path arrowok="t"/>
              <v:stroke dashstyle="solid"/>
            </v:shape>
            <v:shape style="position:absolute;left:8954;top:2486;width:360;height:611" coordorigin="8954,2487" coordsize="360,611" path="m9314,2487l9241,2489,9168,2496,9096,2507,9025,2523,8954,2544,9134,3097,9178,3085,9223,3076,9269,3071,9314,3069,9314,2487xe" filled="true" fillcolor="#4471c4" stroked="false">
              <v:path arrowok="t"/>
              <v:fill type="solid"/>
            </v:shape>
            <v:shape style="position:absolute;left:8954;top:2486;width:360;height:611" coordorigin="8954,2487" coordsize="360,611" path="m8954,2544l9025,2523,9096,2507,9168,2496,9241,2489,9314,2487,9314,3069,9269,3071,9223,3076,9178,3085,9134,3097,8954,2544xe" filled="false" stroked="true" strokeweight="1.56pt" strokecolor="#ffffff">
              <v:path arrowok="t"/>
              <v:stroke dashstyle="solid"/>
            </v:shape>
            <w10:wrap type="none"/>
          </v:group>
        </w:pict>
      </w:r>
      <w:r>
        <w:rPr/>
        <w:t>Over time, existing commercial developments within Suburban Mixed Use areas should be redeveloped with a vertically integrated mix of uses on the site. Multi-family residential can also be introduced into the design of existing suburban-style commercial developments as an initial step toward creating vibrant, walkable mixed-use communities.</w:t>
      </w:r>
    </w:p>
    <w:p>
      <w:pPr>
        <w:pStyle w:val="BodyText"/>
        <w:spacing w:before="8" w:after="1"/>
        <w:rPr>
          <w:sz w:val="19"/>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6"/>
        <w:gridCol w:w="2931"/>
        <w:gridCol w:w="3781"/>
      </w:tblGrid>
      <w:tr>
        <w:trPr>
          <w:trHeight w:val="323" w:hRule="atLeast"/>
        </w:trPr>
        <w:tc>
          <w:tcPr>
            <w:tcW w:w="2926" w:type="dxa"/>
          </w:tcPr>
          <w:p>
            <w:pPr>
              <w:pStyle w:val="TableParagraph"/>
              <w:spacing w:before="20"/>
              <w:ind w:left="525"/>
              <w:rPr>
                <w:b/>
                <w:sz w:val="24"/>
              </w:rPr>
            </w:pPr>
            <w:r>
              <w:rPr>
                <w:b/>
                <w:color w:val="221F1F"/>
                <w:sz w:val="24"/>
              </w:rPr>
              <w:t>Predominant Uses</w:t>
            </w:r>
          </w:p>
        </w:tc>
        <w:tc>
          <w:tcPr>
            <w:tcW w:w="2931" w:type="dxa"/>
          </w:tcPr>
          <w:p>
            <w:pPr>
              <w:pStyle w:val="TableParagraph"/>
              <w:spacing w:before="6"/>
              <w:ind w:left="609"/>
              <w:rPr>
                <w:b/>
                <w:sz w:val="24"/>
              </w:rPr>
            </w:pPr>
            <w:r>
              <w:rPr>
                <w:b/>
                <w:sz w:val="24"/>
              </w:rPr>
              <w:t>Secondary Uses</w:t>
            </w:r>
          </w:p>
        </w:tc>
        <w:tc>
          <w:tcPr>
            <w:tcW w:w="3781" w:type="dxa"/>
          </w:tcPr>
          <w:p>
            <w:pPr>
              <w:pStyle w:val="TableParagraph"/>
              <w:spacing w:before="6"/>
              <w:ind w:left="947"/>
              <w:rPr>
                <w:b/>
                <w:sz w:val="24"/>
              </w:rPr>
            </w:pPr>
            <w:r>
              <w:rPr>
                <w:b/>
                <w:sz w:val="24"/>
              </w:rPr>
              <w:t>Ideal Mix of Uses</w:t>
            </w:r>
          </w:p>
        </w:tc>
      </w:tr>
      <w:tr>
        <w:trPr>
          <w:trHeight w:val="4324" w:hRule="atLeast"/>
        </w:trPr>
        <w:tc>
          <w:tcPr>
            <w:tcW w:w="2926" w:type="dxa"/>
          </w:tcPr>
          <w:p>
            <w:pPr>
              <w:pStyle w:val="TableParagraph"/>
              <w:spacing w:before="6"/>
              <w:rPr>
                <w:sz w:val="22"/>
              </w:rPr>
            </w:pPr>
          </w:p>
          <w:p>
            <w:pPr>
              <w:pStyle w:val="TableParagraph"/>
              <w:numPr>
                <w:ilvl w:val="0"/>
                <w:numId w:val="5"/>
              </w:numPr>
              <w:tabs>
                <w:tab w:pos="827" w:val="left" w:leader="none"/>
                <w:tab w:pos="828" w:val="left" w:leader="none"/>
              </w:tabs>
              <w:spacing w:line="228" w:lineRule="auto" w:before="0" w:after="0"/>
              <w:ind w:left="827" w:right="619" w:hanging="360"/>
              <w:jc w:val="left"/>
              <w:rPr>
                <w:sz w:val="22"/>
              </w:rPr>
            </w:pPr>
            <w:r>
              <w:rPr>
                <w:sz w:val="22"/>
              </w:rPr>
              <w:t>Retail &amp; Service Commercial</w:t>
            </w:r>
          </w:p>
          <w:p>
            <w:pPr>
              <w:pStyle w:val="TableParagraph"/>
              <w:numPr>
                <w:ilvl w:val="0"/>
                <w:numId w:val="5"/>
              </w:numPr>
              <w:tabs>
                <w:tab w:pos="827" w:val="left" w:leader="none"/>
                <w:tab w:pos="828" w:val="left" w:leader="none"/>
              </w:tabs>
              <w:spacing w:line="263" w:lineRule="exact" w:before="3" w:after="0"/>
              <w:ind w:left="827" w:right="0" w:hanging="360"/>
              <w:jc w:val="left"/>
              <w:rPr>
                <w:sz w:val="22"/>
              </w:rPr>
            </w:pPr>
            <w:r>
              <w:rPr>
                <w:sz w:val="22"/>
              </w:rPr>
              <w:t>Office</w:t>
            </w:r>
          </w:p>
          <w:p>
            <w:pPr>
              <w:pStyle w:val="TableParagraph"/>
              <w:numPr>
                <w:ilvl w:val="0"/>
                <w:numId w:val="5"/>
              </w:numPr>
              <w:tabs>
                <w:tab w:pos="827" w:val="left" w:leader="none"/>
                <w:tab w:pos="828" w:val="left" w:leader="none"/>
              </w:tabs>
              <w:spacing w:line="228" w:lineRule="auto" w:before="4" w:after="0"/>
              <w:ind w:left="827" w:right="840" w:hanging="360"/>
              <w:jc w:val="left"/>
              <w:rPr>
                <w:sz w:val="22"/>
              </w:rPr>
            </w:pPr>
            <w:r>
              <w:rPr>
                <w:spacing w:val="-1"/>
                <w:sz w:val="22"/>
              </w:rPr>
              <w:t>Entertainment </w:t>
            </w:r>
            <w:r>
              <w:rPr>
                <w:sz w:val="22"/>
              </w:rPr>
              <w:t>Commercial</w:t>
            </w:r>
          </w:p>
          <w:p>
            <w:pPr>
              <w:pStyle w:val="TableParagraph"/>
              <w:numPr>
                <w:ilvl w:val="0"/>
                <w:numId w:val="5"/>
              </w:numPr>
              <w:tabs>
                <w:tab w:pos="827" w:val="left" w:leader="none"/>
                <w:tab w:pos="828" w:val="left" w:leader="none"/>
              </w:tabs>
              <w:spacing w:line="228" w:lineRule="auto" w:before="16" w:after="0"/>
              <w:ind w:left="827" w:right="901" w:hanging="360"/>
              <w:jc w:val="left"/>
              <w:rPr>
                <w:sz w:val="22"/>
              </w:rPr>
            </w:pPr>
            <w:r>
              <w:rPr>
                <w:spacing w:val="-1"/>
                <w:sz w:val="22"/>
              </w:rPr>
              <w:t>Multi-Family </w:t>
            </w:r>
            <w:r>
              <w:rPr>
                <w:sz w:val="22"/>
              </w:rPr>
              <w:t>Residential</w:t>
            </w:r>
          </w:p>
          <w:p>
            <w:pPr>
              <w:pStyle w:val="TableParagraph"/>
              <w:numPr>
                <w:ilvl w:val="0"/>
                <w:numId w:val="5"/>
              </w:numPr>
              <w:tabs>
                <w:tab w:pos="827" w:val="left" w:leader="none"/>
                <w:tab w:pos="828" w:val="left" w:leader="none"/>
              </w:tabs>
              <w:spacing w:line="240" w:lineRule="auto" w:before="3" w:after="0"/>
              <w:ind w:left="827" w:right="0" w:hanging="360"/>
              <w:jc w:val="left"/>
              <w:rPr>
                <w:sz w:val="22"/>
              </w:rPr>
            </w:pPr>
            <w:r>
              <w:rPr>
                <w:sz w:val="22"/>
              </w:rPr>
              <w:t>Institutional</w:t>
            </w:r>
          </w:p>
        </w:tc>
        <w:tc>
          <w:tcPr>
            <w:tcW w:w="2931" w:type="dxa"/>
          </w:tcPr>
          <w:p>
            <w:pPr>
              <w:pStyle w:val="TableParagraph"/>
              <w:spacing w:before="11"/>
              <w:rPr>
                <w:sz w:val="21"/>
              </w:rPr>
            </w:pPr>
          </w:p>
          <w:p>
            <w:pPr>
              <w:pStyle w:val="TableParagraph"/>
              <w:numPr>
                <w:ilvl w:val="0"/>
                <w:numId w:val="6"/>
              </w:numPr>
              <w:tabs>
                <w:tab w:pos="827" w:val="left" w:leader="none"/>
                <w:tab w:pos="828" w:val="left" w:leader="none"/>
              </w:tabs>
              <w:spacing w:line="235" w:lineRule="auto" w:before="0" w:after="0"/>
              <w:ind w:left="827" w:right="422" w:hanging="360"/>
              <w:jc w:val="left"/>
              <w:rPr>
                <w:sz w:val="22"/>
              </w:rPr>
            </w:pPr>
            <w:r>
              <w:rPr>
                <w:sz w:val="22"/>
              </w:rPr>
              <w:t>Small-Lot Single Family Residential (Attached and Detached)</w:t>
            </w:r>
          </w:p>
          <w:p>
            <w:pPr>
              <w:pStyle w:val="TableParagraph"/>
              <w:numPr>
                <w:ilvl w:val="0"/>
                <w:numId w:val="6"/>
              </w:numPr>
              <w:tabs>
                <w:tab w:pos="827" w:val="left" w:leader="none"/>
                <w:tab w:pos="828" w:val="left" w:leader="none"/>
              </w:tabs>
              <w:spacing w:line="232" w:lineRule="auto" w:before="10" w:after="0"/>
              <w:ind w:left="827" w:right="904" w:hanging="360"/>
              <w:jc w:val="left"/>
              <w:rPr>
                <w:sz w:val="22"/>
              </w:rPr>
            </w:pPr>
            <w:r>
              <w:rPr>
                <w:sz w:val="22"/>
              </w:rPr>
              <w:t>Active Adult Retirement </w:t>
            </w:r>
            <w:r>
              <w:rPr>
                <w:spacing w:val="-1"/>
                <w:sz w:val="22"/>
              </w:rPr>
              <w:t>Communities</w:t>
            </w:r>
          </w:p>
          <w:p>
            <w:pPr>
              <w:pStyle w:val="TableParagraph"/>
              <w:numPr>
                <w:ilvl w:val="0"/>
                <w:numId w:val="6"/>
              </w:numPr>
              <w:tabs>
                <w:tab w:pos="827" w:val="left" w:leader="none"/>
                <w:tab w:pos="828" w:val="left" w:leader="none"/>
              </w:tabs>
              <w:spacing w:line="230" w:lineRule="auto" w:before="15" w:after="0"/>
              <w:ind w:left="827" w:right="499" w:hanging="360"/>
              <w:jc w:val="left"/>
              <w:rPr>
                <w:sz w:val="22"/>
              </w:rPr>
            </w:pPr>
            <w:r>
              <w:rPr>
                <w:sz w:val="22"/>
              </w:rPr>
              <w:t>Civic, Cultural, &amp; Community</w:t>
            </w:r>
          </w:p>
          <w:p>
            <w:pPr>
              <w:pStyle w:val="TableParagraph"/>
              <w:numPr>
                <w:ilvl w:val="0"/>
                <w:numId w:val="6"/>
              </w:numPr>
              <w:tabs>
                <w:tab w:pos="827" w:val="left" w:leader="none"/>
                <w:tab w:pos="828" w:val="left" w:leader="none"/>
              </w:tabs>
              <w:spacing w:line="228" w:lineRule="auto" w:before="10" w:after="0"/>
              <w:ind w:left="827" w:right="129" w:hanging="360"/>
              <w:jc w:val="left"/>
              <w:rPr>
                <w:sz w:val="22"/>
              </w:rPr>
            </w:pPr>
            <w:r>
              <w:rPr>
                <w:sz w:val="22"/>
              </w:rPr>
              <w:t>Accessory Residential Units</w:t>
            </w:r>
          </w:p>
          <w:p>
            <w:pPr>
              <w:pStyle w:val="TableParagraph"/>
              <w:numPr>
                <w:ilvl w:val="0"/>
                <w:numId w:val="6"/>
              </w:numPr>
              <w:tabs>
                <w:tab w:pos="827" w:val="left" w:leader="none"/>
                <w:tab w:pos="828" w:val="left" w:leader="none"/>
              </w:tabs>
              <w:spacing w:line="263" w:lineRule="exact" w:before="6" w:after="0"/>
              <w:ind w:left="827" w:right="0" w:hanging="360"/>
              <w:jc w:val="left"/>
              <w:rPr>
                <w:sz w:val="22"/>
              </w:rPr>
            </w:pPr>
            <w:r>
              <w:rPr>
                <w:sz w:val="22"/>
              </w:rPr>
              <w:t>Public</w:t>
            </w:r>
            <w:r>
              <w:rPr>
                <w:spacing w:val="-1"/>
                <w:sz w:val="22"/>
              </w:rPr>
              <w:t> </w:t>
            </w:r>
            <w:r>
              <w:rPr>
                <w:sz w:val="22"/>
              </w:rPr>
              <w:t>Facilities</w:t>
            </w:r>
          </w:p>
          <w:p>
            <w:pPr>
              <w:pStyle w:val="TableParagraph"/>
              <w:numPr>
                <w:ilvl w:val="0"/>
                <w:numId w:val="6"/>
              </w:numPr>
              <w:tabs>
                <w:tab w:pos="827" w:val="left" w:leader="none"/>
                <w:tab w:pos="828" w:val="left" w:leader="none"/>
              </w:tabs>
              <w:spacing w:line="263" w:lineRule="exact" w:before="0" w:after="0"/>
              <w:ind w:left="827" w:right="0" w:hanging="360"/>
              <w:jc w:val="left"/>
              <w:rPr>
                <w:sz w:val="22"/>
              </w:rPr>
            </w:pPr>
            <w:r>
              <w:rPr>
                <w:sz w:val="22"/>
              </w:rPr>
              <w:t>Hotel</w:t>
            </w:r>
          </w:p>
        </w:tc>
        <w:tc>
          <w:tcPr>
            <w:tcW w:w="3781" w:type="dxa"/>
          </w:tcPr>
          <w:p>
            <w:pPr>
              <w:pStyle w:val="TableParagraph"/>
              <w:spacing w:before="146"/>
              <w:ind w:left="1300" w:right="1557"/>
              <w:jc w:val="center"/>
              <w:rPr>
                <w:rFonts w:ascii="Calibri"/>
                <w:b/>
                <w:sz w:val="18"/>
              </w:rPr>
            </w:pPr>
            <w:r>
              <w:rPr>
                <w:rFonts w:ascii="Calibri"/>
                <w:b/>
                <w:sz w:val="18"/>
              </w:rPr>
              <w:t>Public/Civic 5%</w:t>
            </w:r>
          </w:p>
          <w:p>
            <w:pPr>
              <w:pStyle w:val="TableParagraph"/>
              <w:rPr>
                <w:sz w:val="18"/>
              </w:rPr>
            </w:pPr>
          </w:p>
          <w:p>
            <w:pPr>
              <w:pStyle w:val="TableParagraph"/>
              <w:rPr>
                <w:sz w:val="18"/>
              </w:rPr>
            </w:pPr>
          </w:p>
          <w:p>
            <w:pPr>
              <w:pStyle w:val="TableParagraph"/>
              <w:spacing w:before="10"/>
              <w:rPr>
                <w:sz w:val="22"/>
              </w:rPr>
            </w:pPr>
          </w:p>
          <w:p>
            <w:pPr>
              <w:pStyle w:val="TableParagraph"/>
              <w:ind w:left="735" w:right="2184" w:firstLine="259"/>
              <w:rPr>
                <w:rFonts w:ascii="Calibri"/>
                <w:b/>
                <w:sz w:val="18"/>
              </w:rPr>
            </w:pPr>
            <w:r>
              <w:rPr>
                <w:rFonts w:ascii="Calibri"/>
                <w:b/>
                <w:sz w:val="18"/>
              </w:rPr>
              <w:t>Non Residential</w:t>
            </w:r>
          </w:p>
          <w:p>
            <w:pPr>
              <w:pStyle w:val="TableParagraph"/>
              <w:tabs>
                <w:tab w:pos="2429" w:val="left" w:leader="none"/>
              </w:tabs>
              <w:spacing w:before="7"/>
              <w:ind w:left="992"/>
              <w:rPr>
                <w:rFonts w:ascii="Calibri"/>
                <w:b/>
                <w:sz w:val="18"/>
              </w:rPr>
            </w:pPr>
            <w:r>
              <w:rPr>
                <w:rFonts w:ascii="Calibri"/>
                <w:b/>
                <w:position w:val="7"/>
                <w:sz w:val="18"/>
              </w:rPr>
              <w:t>35%</w:t>
              <w:tab/>
            </w:r>
            <w:r>
              <w:rPr>
                <w:rFonts w:ascii="Calibri"/>
                <w:b/>
                <w:sz w:val="18"/>
              </w:rPr>
              <w:t>Residential</w:t>
            </w:r>
          </w:p>
          <w:p>
            <w:pPr>
              <w:pStyle w:val="TableParagraph"/>
              <w:spacing w:before="1"/>
              <w:ind w:right="769"/>
              <w:jc w:val="right"/>
              <w:rPr>
                <w:rFonts w:ascii="Calibri"/>
                <w:b/>
                <w:sz w:val="18"/>
              </w:rPr>
            </w:pPr>
            <w:r>
              <w:rPr>
                <w:rFonts w:ascii="Calibri"/>
                <w:b/>
                <w:sz w:val="18"/>
              </w:rPr>
              <w:t>60%</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7"/>
              <w:ind w:left="549" w:right="1704"/>
              <w:rPr>
                <w:sz w:val="22"/>
              </w:rPr>
            </w:pPr>
            <w:r>
              <w:rPr>
                <w:sz w:val="22"/>
              </w:rPr>
              <w:t>Possible Ranges: Res: Up to 60%</w:t>
            </w:r>
          </w:p>
          <w:p>
            <w:pPr>
              <w:pStyle w:val="TableParagraph"/>
              <w:spacing w:before="1"/>
              <w:ind w:left="549" w:right="1350"/>
              <w:rPr>
                <w:sz w:val="22"/>
              </w:rPr>
            </w:pPr>
            <w:r>
              <w:rPr>
                <w:sz w:val="22"/>
              </w:rPr>
              <w:t>Non-Res: Up to 80% Public/Civic: 5%+</w:t>
            </w:r>
          </w:p>
        </w:tc>
      </w:tr>
    </w:tbl>
    <w:p>
      <w:pPr>
        <w:spacing w:after="0"/>
        <w:rPr>
          <w:sz w:val="22"/>
        </w:rPr>
        <w:sectPr>
          <w:pgSz w:w="12240" w:h="15840"/>
          <w:pgMar w:header="719" w:footer="443" w:top="920" w:bottom="740" w:left="0" w:right="0"/>
        </w:sectPr>
      </w:pPr>
    </w:p>
    <w:p>
      <w:pPr>
        <w:pStyle w:val="BodyText"/>
        <w:rPr>
          <w:sz w:val="20"/>
        </w:rPr>
      </w:pPr>
    </w:p>
    <w:p>
      <w:pPr>
        <w:pStyle w:val="Heading3"/>
        <w:spacing w:before="268"/>
        <w:rPr>
          <w:rFonts w:ascii="Times New Roman"/>
        </w:rPr>
      </w:pPr>
      <w:r>
        <w:rPr>
          <w:rFonts w:ascii="Times New Roman"/>
        </w:rPr>
        <w:t>DESIGN CHARACTERISTICS</w:t>
      </w:r>
    </w:p>
    <w:p>
      <w:pPr>
        <w:pStyle w:val="Heading5"/>
        <w:spacing w:line="274" w:lineRule="exact" w:before="205"/>
      </w:pPr>
      <w:r>
        <w:rPr/>
        <w:t>Context</w:t>
      </w:r>
    </w:p>
    <w:p>
      <w:pPr>
        <w:pStyle w:val="BodyText"/>
        <w:ind w:left="1440" w:right="1495"/>
      </w:pPr>
      <w:r>
        <w:rPr/>
        <w:pict>
          <v:shape style="position:absolute;margin-left:72pt;margin-top:31.473106pt;width:451.2pt;height:183pt;mso-position-horizontal-relative:page;mso-position-vertical-relative:paragraph;z-index:4192;mso-wrap-distance-left:0;mso-wrap-distance-right:0" type="#_x0000_t202" filled="false" stroked="true" strokeweight=".75pt" strokecolor="#000000">
            <v:textbox inset="0,0,0,0">
              <w:txbxContent>
                <w:p>
                  <w:pPr>
                    <w:spacing w:line="259" w:lineRule="auto" w:before="70"/>
                    <w:ind w:left="144" w:right="6850" w:firstLine="0"/>
                    <w:jc w:val="left"/>
                    <w:rPr>
                      <w:b/>
                      <w:sz w:val="22"/>
                    </w:rPr>
                  </w:pPr>
                  <w:r>
                    <w:rPr>
                      <w:b/>
                      <w:sz w:val="22"/>
                    </w:rPr>
                    <w:t>Street Pattern: </w:t>
                  </w:r>
                  <w:r>
                    <w:rPr>
                      <w:sz w:val="22"/>
                    </w:rPr>
                    <w:t>Arterial and local; grid </w:t>
                  </w:r>
                  <w:r>
                    <w:rPr>
                      <w:b/>
                      <w:sz w:val="22"/>
                    </w:rPr>
                    <w:t>Block Length:</w:t>
                  </w:r>
                </w:p>
                <w:p>
                  <w:pPr>
                    <w:spacing w:line="247" w:lineRule="exact" w:before="0"/>
                    <w:ind w:left="144" w:right="0" w:firstLine="0"/>
                    <w:jc w:val="left"/>
                    <w:rPr>
                      <w:sz w:val="22"/>
                    </w:rPr>
                  </w:pPr>
                  <w:r>
                    <w:rPr>
                      <w:sz w:val="22"/>
                    </w:rPr>
                    <w:t>200-660 feet</w:t>
                  </w:r>
                </w:p>
                <w:p>
                  <w:pPr>
                    <w:spacing w:before="26"/>
                    <w:ind w:left="144" w:right="0" w:firstLine="0"/>
                    <w:jc w:val="left"/>
                    <w:rPr>
                      <w:b/>
                      <w:sz w:val="22"/>
                    </w:rPr>
                  </w:pPr>
                  <w:r>
                    <w:rPr>
                      <w:b/>
                      <w:sz w:val="22"/>
                    </w:rPr>
                    <w:t>Building Setback:</w:t>
                  </w:r>
                </w:p>
                <w:p>
                  <w:pPr>
                    <w:spacing w:before="15"/>
                    <w:ind w:left="144" w:right="0" w:firstLine="0"/>
                    <w:jc w:val="left"/>
                    <w:rPr>
                      <w:sz w:val="22"/>
                    </w:rPr>
                  </w:pPr>
                  <w:r>
                    <w:rPr>
                      <w:sz w:val="22"/>
                    </w:rPr>
                    <w:t>Shallow setbacks at sidewalks</w:t>
                  </w:r>
                </w:p>
                <w:p>
                  <w:pPr>
                    <w:spacing w:before="26"/>
                    <w:ind w:left="144" w:right="0" w:firstLine="0"/>
                    <w:jc w:val="left"/>
                    <w:rPr>
                      <w:b/>
                      <w:sz w:val="22"/>
                    </w:rPr>
                  </w:pPr>
                  <w:r>
                    <w:rPr>
                      <w:b/>
                      <w:sz w:val="22"/>
                    </w:rPr>
                    <w:t>Parking:</w:t>
                  </w:r>
                </w:p>
                <w:p>
                  <w:pPr>
                    <w:spacing w:before="13"/>
                    <w:ind w:left="144" w:right="0" w:firstLine="0"/>
                    <w:jc w:val="left"/>
                    <w:rPr>
                      <w:sz w:val="22"/>
                    </w:rPr>
                  </w:pPr>
                  <w:r>
                    <w:rPr>
                      <w:sz w:val="22"/>
                    </w:rPr>
                    <w:t>Structured, on-street, accessory, short-term, and/or alley-oriented</w:t>
                  </w:r>
                </w:p>
                <w:p>
                  <w:pPr>
                    <w:spacing w:before="26"/>
                    <w:ind w:left="144" w:right="0" w:firstLine="0"/>
                    <w:jc w:val="left"/>
                    <w:rPr>
                      <w:b/>
                      <w:sz w:val="22"/>
                    </w:rPr>
                  </w:pPr>
                  <w:r>
                    <w:rPr>
                      <w:b/>
                      <w:sz w:val="22"/>
                    </w:rPr>
                    <w:t>Design Amenities:</w:t>
                  </w:r>
                </w:p>
                <w:p>
                  <w:pPr>
                    <w:spacing w:line="259" w:lineRule="auto" w:before="16"/>
                    <w:ind w:left="144" w:right="814" w:firstLine="0"/>
                    <w:jc w:val="left"/>
                    <w:rPr>
                      <w:sz w:val="22"/>
                    </w:rPr>
                  </w:pPr>
                  <w:r>
                    <w:rPr>
                      <w:sz w:val="22"/>
                    </w:rPr>
                    <w:t>Sidewalks, street trees, street furniture, shade trees, bike racks, lighting, crosswalks, plazas, pedestrian malls, network of green space, public art</w:t>
                  </w:r>
                </w:p>
                <w:p>
                  <w:pPr>
                    <w:spacing w:before="3"/>
                    <w:ind w:left="144" w:right="0" w:firstLine="0"/>
                    <w:jc w:val="left"/>
                    <w:rPr>
                      <w:b/>
                      <w:sz w:val="22"/>
                    </w:rPr>
                  </w:pPr>
                  <w:r>
                    <w:rPr>
                      <w:b/>
                      <w:sz w:val="22"/>
                    </w:rPr>
                    <w:t>Open Space:</w:t>
                  </w:r>
                </w:p>
                <w:p>
                  <w:pPr>
                    <w:spacing w:before="16"/>
                    <w:ind w:left="144" w:right="0" w:firstLine="0"/>
                    <w:jc w:val="left"/>
                    <w:rPr>
                      <w:sz w:val="22"/>
                    </w:rPr>
                  </w:pPr>
                  <w:r>
                    <w:rPr>
                      <w:sz w:val="22"/>
                    </w:rPr>
                    <w:t>10% of the site</w:t>
                  </w:r>
                </w:p>
              </w:txbxContent>
            </v:textbox>
            <v:stroke dashstyle="solid"/>
            <w10:wrap type="topAndBottom"/>
          </v:shape>
        </w:pict>
      </w:r>
      <w:r>
        <w:rPr/>
        <w:t>Vertically mixed-use buildings as well as multi-story single-use buildings that are integrated in a walkable street pattern.</w:t>
      </w:r>
    </w:p>
    <w:p>
      <w:pPr>
        <w:pStyle w:val="Heading5"/>
        <w:spacing w:line="274" w:lineRule="exact" w:before="107"/>
      </w:pPr>
      <w:r>
        <w:rPr/>
        <w:t>Place Type Rendering</w:t>
      </w:r>
    </w:p>
    <w:p>
      <w:pPr>
        <w:spacing w:line="240" w:lineRule="auto" w:before="0"/>
        <w:ind w:left="1440" w:right="149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rPr>
          <w:i/>
        </w:rPr>
      </w:pPr>
    </w:p>
    <w:p>
      <w:pPr>
        <w:pStyle w:val="Heading5"/>
        <w:tabs>
          <w:tab w:pos="5040" w:val="left" w:leader="none"/>
        </w:tabs>
      </w:pPr>
      <w:r>
        <w:rPr/>
        <w:drawing>
          <wp:anchor distT="0" distB="0" distL="0" distR="0" allowOverlap="1" layoutInCell="1" locked="0" behindDoc="0" simplePos="0" relativeHeight="4216">
            <wp:simplePos x="0" y="0"/>
            <wp:positionH relativeFrom="page">
              <wp:posOffset>914400</wp:posOffset>
            </wp:positionH>
            <wp:positionV relativeFrom="paragraph">
              <wp:posOffset>210478</wp:posOffset>
            </wp:positionV>
            <wp:extent cx="3301419" cy="1833562"/>
            <wp:effectExtent l="0" t="0" r="0" b="0"/>
            <wp:wrapTopAndBottom/>
            <wp:docPr id="35" name="image28.jpeg" descr=""/>
            <wp:cNvGraphicFramePr>
              <a:graphicFrameLocks noChangeAspect="1"/>
            </wp:cNvGraphicFramePr>
            <a:graphic>
              <a:graphicData uri="http://schemas.openxmlformats.org/drawingml/2006/picture">
                <pic:pic>
                  <pic:nvPicPr>
                    <pic:cNvPr id="36" name="image28.jpeg"/>
                    <pic:cNvPicPr/>
                  </pic:nvPicPr>
                  <pic:blipFill>
                    <a:blip r:embed="rId37" cstate="print"/>
                    <a:stretch>
                      <a:fillRect/>
                    </a:stretch>
                  </pic:blipFill>
                  <pic:spPr>
                    <a:xfrm>
                      <a:off x="0" y="0"/>
                      <a:ext cx="3301419" cy="1833562"/>
                    </a:xfrm>
                    <a:prstGeom prst="rect">
                      <a:avLst/>
                    </a:prstGeom>
                  </pic:spPr>
                </pic:pic>
              </a:graphicData>
            </a:graphic>
          </wp:anchor>
        </w:drawing>
      </w:r>
      <w:r>
        <w:rPr/>
        <w:t>Total FAR: Up</w:t>
      </w:r>
      <w:r>
        <w:rPr>
          <w:spacing w:val="-3"/>
        </w:rPr>
        <w:t> </w:t>
      </w:r>
      <w:r>
        <w:rPr/>
        <w:t>to</w:t>
      </w:r>
      <w:r>
        <w:rPr>
          <w:spacing w:val="-2"/>
        </w:rPr>
        <w:t> </w:t>
      </w:r>
      <w:r>
        <w:rPr/>
        <w:t>1.0</w:t>
        <w:tab/>
        <w:t>Building Height: Up to 5</w:t>
      </w:r>
      <w:r>
        <w:rPr>
          <w:spacing w:val="-4"/>
        </w:rPr>
        <w:t> </w:t>
      </w:r>
      <w:r>
        <w:rPr/>
        <w:t>stories</w:t>
      </w:r>
    </w:p>
    <w:p>
      <w:pPr>
        <w:spacing w:before="115"/>
        <w:ind w:left="1440" w:right="0" w:firstLine="0"/>
        <w:jc w:val="left"/>
        <w:rPr>
          <w:b/>
          <w:sz w:val="24"/>
        </w:rPr>
      </w:pPr>
      <w:r>
        <w:rPr>
          <w:b/>
          <w:sz w:val="24"/>
        </w:rPr>
        <w:t>Transition</w:t>
      </w:r>
    </w:p>
    <w:p>
      <w:pPr>
        <w:pStyle w:val="BodyText"/>
        <w:spacing w:line="259" w:lineRule="auto" w:before="16"/>
        <w:ind w:left="1440" w:right="1433"/>
        <w:jc w:val="both"/>
      </w:pPr>
      <w:r>
        <w:rPr/>
        <w:t>Small block sizes and a mix of different uses make transitions between uses and developments important</w:t>
      </w:r>
      <w:r>
        <w:rPr>
          <w:spacing w:val="-3"/>
        </w:rPr>
        <w:t> </w:t>
      </w:r>
      <w:r>
        <w:rPr/>
        <w:t>in</w:t>
      </w:r>
      <w:r>
        <w:rPr>
          <w:spacing w:val="-3"/>
        </w:rPr>
        <w:t> </w:t>
      </w:r>
      <w:r>
        <w:rPr/>
        <w:t>the</w:t>
      </w:r>
      <w:r>
        <w:rPr>
          <w:spacing w:val="-4"/>
        </w:rPr>
        <w:t> </w:t>
      </w:r>
      <w:r>
        <w:rPr/>
        <w:t>Suburban</w:t>
      </w:r>
      <w:r>
        <w:rPr>
          <w:spacing w:val="-4"/>
        </w:rPr>
        <w:t> </w:t>
      </w:r>
      <w:r>
        <w:rPr/>
        <w:t>Mixed</w:t>
      </w:r>
      <w:r>
        <w:rPr>
          <w:spacing w:val="-4"/>
        </w:rPr>
        <w:t> </w:t>
      </w:r>
      <w:r>
        <w:rPr/>
        <w:t>Use</w:t>
      </w:r>
      <w:r>
        <w:rPr>
          <w:spacing w:val="-4"/>
        </w:rPr>
        <w:t> </w:t>
      </w:r>
      <w:r>
        <w:rPr/>
        <w:t>Place</w:t>
      </w:r>
      <w:r>
        <w:rPr>
          <w:spacing w:val="-5"/>
        </w:rPr>
        <w:t> </w:t>
      </w:r>
      <w:r>
        <w:rPr/>
        <w:t>Type.</w:t>
      </w:r>
      <w:r>
        <w:rPr>
          <w:spacing w:val="-2"/>
        </w:rPr>
        <w:t> </w:t>
      </w:r>
      <w:r>
        <w:rPr/>
        <w:t>Changes</w:t>
      </w:r>
      <w:r>
        <w:rPr>
          <w:spacing w:val="-4"/>
        </w:rPr>
        <w:t> </w:t>
      </w:r>
      <w:r>
        <w:rPr/>
        <w:t>in</w:t>
      </w:r>
      <w:r>
        <w:rPr>
          <w:spacing w:val="-3"/>
        </w:rPr>
        <w:t> </w:t>
      </w:r>
      <w:r>
        <w:rPr/>
        <w:t>height</w:t>
      </w:r>
      <w:r>
        <w:rPr>
          <w:spacing w:val="-3"/>
        </w:rPr>
        <w:t> </w:t>
      </w:r>
      <w:r>
        <w:rPr/>
        <w:t>or</w:t>
      </w:r>
      <w:r>
        <w:rPr>
          <w:spacing w:val="-5"/>
        </w:rPr>
        <w:t> </w:t>
      </w:r>
      <w:r>
        <w:rPr/>
        <w:t>building</w:t>
      </w:r>
      <w:r>
        <w:rPr>
          <w:spacing w:val="-6"/>
        </w:rPr>
        <w:t> </w:t>
      </w:r>
      <w:r>
        <w:rPr/>
        <w:t>character,</w:t>
      </w:r>
      <w:r>
        <w:rPr>
          <w:spacing w:val="-1"/>
        </w:rPr>
        <w:t> </w:t>
      </w:r>
      <w:r>
        <w:rPr/>
        <w:t>where allowed, should occur mid-block to promote balanced streetwalls where both sides of the street appear</w:t>
      </w:r>
      <w:r>
        <w:rPr>
          <w:spacing w:val="-10"/>
        </w:rPr>
        <w:t> </w:t>
      </w:r>
      <w:r>
        <w:rPr/>
        <w:t>similar</w:t>
      </w:r>
      <w:r>
        <w:rPr>
          <w:spacing w:val="-10"/>
        </w:rPr>
        <w:t> </w:t>
      </w:r>
      <w:r>
        <w:rPr/>
        <w:t>in</w:t>
      </w:r>
      <w:r>
        <w:rPr>
          <w:spacing w:val="-9"/>
        </w:rPr>
        <w:t> </w:t>
      </w:r>
      <w:r>
        <w:rPr/>
        <w:t>height.</w:t>
      </w:r>
      <w:r>
        <w:rPr>
          <w:spacing w:val="-9"/>
        </w:rPr>
        <w:t> </w:t>
      </w:r>
      <w:r>
        <w:rPr/>
        <w:t>Larger</w:t>
      </w:r>
      <w:r>
        <w:rPr>
          <w:spacing w:val="-10"/>
        </w:rPr>
        <w:t> </w:t>
      </w:r>
      <w:r>
        <w:rPr/>
        <w:t>developments</w:t>
      </w:r>
      <w:r>
        <w:rPr>
          <w:spacing w:val="-9"/>
        </w:rPr>
        <w:t> </w:t>
      </w:r>
      <w:r>
        <w:rPr/>
        <w:t>near</w:t>
      </w:r>
      <w:r>
        <w:rPr>
          <w:spacing w:val="-10"/>
        </w:rPr>
        <w:t> </w:t>
      </w:r>
      <w:r>
        <w:rPr/>
        <w:t>smaller</w:t>
      </w:r>
      <w:r>
        <w:rPr>
          <w:spacing w:val="-11"/>
        </w:rPr>
        <w:t> </w:t>
      </w:r>
      <w:r>
        <w:rPr/>
        <w:t>residential</w:t>
      </w:r>
      <w:r>
        <w:rPr>
          <w:spacing w:val="-9"/>
        </w:rPr>
        <w:t> </w:t>
      </w:r>
      <w:r>
        <w:rPr/>
        <w:t>dwellings</w:t>
      </w:r>
      <w:r>
        <w:rPr>
          <w:spacing w:val="-9"/>
        </w:rPr>
        <w:t> </w:t>
      </w:r>
      <w:r>
        <w:rPr/>
        <w:t>should</w:t>
      </w:r>
      <w:r>
        <w:rPr>
          <w:spacing w:val="-10"/>
        </w:rPr>
        <w:t> </w:t>
      </w:r>
      <w:r>
        <w:rPr/>
        <w:t>step</w:t>
      </w:r>
      <w:r>
        <w:rPr>
          <w:spacing w:val="-10"/>
        </w:rPr>
        <w:t> </w:t>
      </w:r>
      <w:r>
        <w:rPr/>
        <w:t>down appropriately to respect these neighbors. Developments should be transitioned from taller buildings at the center to heights generally no more than a story taller than adjoining adjacent development consisting of less intensive uses. The predominant residential use type is multi- family;</w:t>
      </w:r>
      <w:r>
        <w:rPr>
          <w:spacing w:val="-4"/>
        </w:rPr>
        <w:t> </w:t>
      </w:r>
      <w:r>
        <w:rPr/>
        <w:t>however,</w:t>
      </w:r>
      <w:r>
        <w:rPr>
          <w:spacing w:val="-5"/>
        </w:rPr>
        <w:t> </w:t>
      </w:r>
      <w:r>
        <w:rPr/>
        <w:t>a</w:t>
      </w:r>
      <w:r>
        <w:rPr>
          <w:spacing w:val="-6"/>
        </w:rPr>
        <w:t> </w:t>
      </w:r>
      <w:r>
        <w:rPr/>
        <w:t>very</w:t>
      </w:r>
      <w:r>
        <w:rPr>
          <w:spacing w:val="-9"/>
        </w:rPr>
        <w:t> </w:t>
      </w:r>
      <w:r>
        <w:rPr/>
        <w:t>limited</w:t>
      </w:r>
      <w:r>
        <w:rPr>
          <w:spacing w:val="-3"/>
        </w:rPr>
        <w:t> </w:t>
      </w:r>
      <w:r>
        <w:rPr/>
        <w:t>portion</w:t>
      </w:r>
      <w:r>
        <w:rPr>
          <w:spacing w:val="-5"/>
        </w:rPr>
        <w:t> </w:t>
      </w:r>
      <w:r>
        <w:rPr/>
        <w:t>of</w:t>
      </w:r>
      <w:r>
        <w:rPr>
          <w:spacing w:val="-6"/>
        </w:rPr>
        <w:t> </w:t>
      </w:r>
      <w:r>
        <w:rPr/>
        <w:t>the</w:t>
      </w:r>
      <w:r>
        <w:rPr>
          <w:spacing w:val="-5"/>
        </w:rPr>
        <w:t> </w:t>
      </w:r>
      <w:r>
        <w:rPr/>
        <w:t>development</w:t>
      </w:r>
      <w:r>
        <w:rPr>
          <w:spacing w:val="-4"/>
        </w:rPr>
        <w:t> </w:t>
      </w:r>
      <w:r>
        <w:rPr/>
        <w:t>within</w:t>
      </w:r>
      <w:r>
        <w:rPr>
          <w:spacing w:val="-5"/>
        </w:rPr>
        <w:t> </w:t>
      </w:r>
      <w:r>
        <w:rPr/>
        <w:t>the</w:t>
      </w:r>
      <w:r>
        <w:rPr>
          <w:spacing w:val="-5"/>
        </w:rPr>
        <w:t> </w:t>
      </w:r>
      <w:r>
        <w:rPr/>
        <w:t>Suburban</w:t>
      </w:r>
      <w:r>
        <w:rPr>
          <w:spacing w:val="-5"/>
        </w:rPr>
        <w:t> </w:t>
      </w:r>
      <w:r>
        <w:rPr/>
        <w:t>Mixed</w:t>
      </w:r>
      <w:r>
        <w:rPr>
          <w:spacing w:val="-5"/>
        </w:rPr>
        <w:t> </w:t>
      </w:r>
      <w:r>
        <w:rPr/>
        <w:t>Use</w:t>
      </w:r>
      <w:r>
        <w:rPr>
          <w:spacing w:val="-4"/>
        </w:rPr>
        <w:t> </w:t>
      </w:r>
      <w:r>
        <w:rPr/>
        <w:t>Place Type</w:t>
      </w:r>
      <w:r>
        <w:rPr>
          <w:spacing w:val="-9"/>
        </w:rPr>
        <w:t> </w:t>
      </w:r>
      <w:r>
        <w:rPr/>
        <w:t>may</w:t>
      </w:r>
      <w:r>
        <w:rPr>
          <w:spacing w:val="-16"/>
        </w:rPr>
        <w:t> </w:t>
      </w:r>
      <w:r>
        <w:rPr/>
        <w:t>be</w:t>
      </w:r>
      <w:r>
        <w:rPr>
          <w:spacing w:val="-10"/>
        </w:rPr>
        <w:t> </w:t>
      </w:r>
      <w:r>
        <w:rPr/>
        <w:t>developed</w:t>
      </w:r>
      <w:r>
        <w:rPr>
          <w:spacing w:val="-7"/>
        </w:rPr>
        <w:t> </w:t>
      </w:r>
      <w:r>
        <w:rPr/>
        <w:t>with</w:t>
      </w:r>
      <w:r>
        <w:rPr>
          <w:spacing w:val="-8"/>
        </w:rPr>
        <w:t> </w:t>
      </w:r>
      <w:r>
        <w:rPr/>
        <w:t>small-lot</w:t>
      </w:r>
      <w:r>
        <w:rPr>
          <w:spacing w:val="-8"/>
        </w:rPr>
        <w:t> </w:t>
      </w:r>
      <w:r>
        <w:rPr/>
        <w:t>single</w:t>
      </w:r>
      <w:r>
        <w:rPr>
          <w:spacing w:val="-9"/>
        </w:rPr>
        <w:t> </w:t>
      </w:r>
      <w:r>
        <w:rPr/>
        <w:t>family</w:t>
      </w:r>
      <w:r>
        <w:rPr>
          <w:spacing w:val="-13"/>
        </w:rPr>
        <w:t> </w:t>
      </w:r>
      <w:r>
        <w:rPr/>
        <w:t>residential</w:t>
      </w:r>
      <w:r>
        <w:rPr>
          <w:spacing w:val="-6"/>
        </w:rPr>
        <w:t> </w:t>
      </w:r>
      <w:r>
        <w:rPr/>
        <w:t>as</w:t>
      </w:r>
      <w:r>
        <w:rPr>
          <w:spacing w:val="-8"/>
        </w:rPr>
        <w:t> </w:t>
      </w:r>
      <w:r>
        <w:rPr/>
        <w:t>a</w:t>
      </w:r>
      <w:r>
        <w:rPr>
          <w:spacing w:val="-10"/>
        </w:rPr>
        <w:t> </w:t>
      </w:r>
      <w:r>
        <w:rPr/>
        <w:t>transitional</w:t>
      </w:r>
      <w:r>
        <w:rPr>
          <w:spacing w:val="-8"/>
        </w:rPr>
        <w:t> </w:t>
      </w:r>
      <w:r>
        <w:rPr/>
        <w:t>use</w:t>
      </w:r>
      <w:r>
        <w:rPr>
          <w:spacing w:val="-9"/>
        </w:rPr>
        <w:t> </w:t>
      </w:r>
      <w:r>
        <w:rPr/>
        <w:t>between</w:t>
      </w:r>
      <w:r>
        <w:rPr>
          <w:spacing w:val="-8"/>
        </w:rPr>
        <w:t> </w:t>
      </w:r>
      <w:r>
        <w:rPr/>
        <w:t>Place Types.</w:t>
      </w:r>
    </w:p>
    <w:p>
      <w:pPr>
        <w:spacing w:after="0" w:line="259" w:lineRule="auto"/>
        <w:jc w:val="both"/>
        <w:sectPr>
          <w:pgSz w:w="12240" w:h="15840"/>
          <w:pgMar w:header="719" w:footer="443" w:top="920" w:bottom="740" w:left="0" w:right="0"/>
        </w:sectPr>
      </w:pPr>
    </w:p>
    <w:p>
      <w:pPr>
        <w:pStyle w:val="Heading1"/>
        <w:tabs>
          <w:tab w:pos="1898" w:val="left" w:leader="none"/>
          <w:tab w:pos="11409" w:val="left" w:leader="none"/>
        </w:tabs>
        <w:spacing w:before="41"/>
        <w:ind w:left="1179"/>
      </w:pPr>
      <w:r>
        <w:rPr>
          <w:w w:val="100"/>
          <w:shd w:fill="B9E8FF" w:color="auto" w:val="clear"/>
        </w:rPr>
        <w:t> </w:t>
      </w:r>
      <w:r>
        <w:rPr>
          <w:shd w:fill="B9E8FF" w:color="auto" w:val="clear"/>
        </w:rPr>
        <w:tab/>
        <w:t>Suburban</w:t>
      </w:r>
      <w:r>
        <w:rPr>
          <w:spacing w:val="-13"/>
          <w:shd w:fill="B9E8FF" w:color="auto" w:val="clear"/>
        </w:rPr>
        <w:t> </w:t>
      </w:r>
      <w:r>
        <w:rPr>
          <w:shd w:fill="B9E8FF" w:color="auto" w:val="clear"/>
        </w:rPr>
        <w:t>Employment</w:t>
        <w:tab/>
      </w:r>
    </w:p>
    <w:p>
      <w:pPr>
        <w:pStyle w:val="BodyText"/>
        <w:spacing w:before="11"/>
        <w:rPr>
          <w:rFonts w:ascii="Ebrima"/>
          <w:b/>
          <w:sz w:val="15"/>
        </w:rPr>
      </w:pPr>
      <w:r>
        <w:rPr/>
        <w:drawing>
          <wp:anchor distT="0" distB="0" distL="0" distR="0" allowOverlap="1" layoutInCell="1" locked="0" behindDoc="0" simplePos="0" relativeHeight="4240">
            <wp:simplePos x="0" y="0"/>
            <wp:positionH relativeFrom="page">
              <wp:posOffset>914400</wp:posOffset>
            </wp:positionH>
            <wp:positionV relativeFrom="paragraph">
              <wp:posOffset>153392</wp:posOffset>
            </wp:positionV>
            <wp:extent cx="3088766" cy="1198626"/>
            <wp:effectExtent l="0" t="0" r="0" b="0"/>
            <wp:wrapTopAndBottom/>
            <wp:docPr id="37" name="image29.jpeg" descr=""/>
            <wp:cNvGraphicFramePr>
              <a:graphicFrameLocks noChangeAspect="1"/>
            </wp:cNvGraphicFramePr>
            <a:graphic>
              <a:graphicData uri="http://schemas.openxmlformats.org/drawingml/2006/picture">
                <pic:pic>
                  <pic:nvPicPr>
                    <pic:cNvPr id="38" name="image29.jpeg"/>
                    <pic:cNvPicPr/>
                  </pic:nvPicPr>
                  <pic:blipFill>
                    <a:blip r:embed="rId38" cstate="print"/>
                    <a:stretch>
                      <a:fillRect/>
                    </a:stretch>
                  </pic:blipFill>
                  <pic:spPr>
                    <a:xfrm>
                      <a:off x="0" y="0"/>
                      <a:ext cx="3088766" cy="1198626"/>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4114800</wp:posOffset>
            </wp:positionH>
            <wp:positionV relativeFrom="paragraph">
              <wp:posOffset>161012</wp:posOffset>
            </wp:positionV>
            <wp:extent cx="2751506" cy="1118997"/>
            <wp:effectExtent l="0" t="0" r="0" b="0"/>
            <wp:wrapTopAndBottom/>
            <wp:docPr id="39" name="image30.jpeg" descr=""/>
            <wp:cNvGraphicFramePr>
              <a:graphicFrameLocks noChangeAspect="1"/>
            </wp:cNvGraphicFramePr>
            <a:graphic>
              <a:graphicData uri="http://schemas.openxmlformats.org/drawingml/2006/picture">
                <pic:pic>
                  <pic:nvPicPr>
                    <pic:cNvPr id="40" name="image30.jpeg"/>
                    <pic:cNvPicPr/>
                  </pic:nvPicPr>
                  <pic:blipFill>
                    <a:blip r:embed="rId39" cstate="print"/>
                    <a:stretch>
                      <a:fillRect/>
                    </a:stretch>
                  </pic:blipFill>
                  <pic:spPr>
                    <a:xfrm>
                      <a:off x="0" y="0"/>
                      <a:ext cx="2751506" cy="1118997"/>
                    </a:xfrm>
                    <a:prstGeom prst="rect">
                      <a:avLst/>
                    </a:prstGeom>
                  </pic:spPr>
                </pic:pic>
              </a:graphicData>
            </a:graphic>
          </wp:anchor>
        </w:drawing>
      </w:r>
    </w:p>
    <w:p>
      <w:pPr>
        <w:pStyle w:val="BodyText"/>
        <w:spacing w:before="1"/>
        <w:rPr>
          <w:rFonts w:ascii="Ebrima"/>
          <w:b/>
          <w:sz w:val="7"/>
        </w:rPr>
      </w:pPr>
    </w:p>
    <w:p>
      <w:pPr>
        <w:tabs>
          <w:tab w:pos="6829" w:val="left" w:leader="none"/>
        </w:tabs>
        <w:spacing w:line="240" w:lineRule="auto"/>
        <w:ind w:left="1440" w:right="0" w:firstLine="0"/>
        <w:rPr>
          <w:rFonts w:ascii="Ebrima"/>
          <w:sz w:val="20"/>
        </w:rPr>
      </w:pPr>
      <w:r>
        <w:rPr>
          <w:rFonts w:ascii="Ebrima"/>
          <w:position w:val="7"/>
          <w:sz w:val="20"/>
        </w:rPr>
        <w:drawing>
          <wp:inline distT="0" distB="0" distL="0" distR="0">
            <wp:extent cx="3266518" cy="1357884"/>
            <wp:effectExtent l="0" t="0" r="0" b="0"/>
            <wp:docPr id="41" name="image31.jpeg" descr=""/>
            <wp:cNvGraphicFramePr>
              <a:graphicFrameLocks noChangeAspect="1"/>
            </wp:cNvGraphicFramePr>
            <a:graphic>
              <a:graphicData uri="http://schemas.openxmlformats.org/drawingml/2006/picture">
                <pic:pic>
                  <pic:nvPicPr>
                    <pic:cNvPr id="42" name="image31.jpeg"/>
                    <pic:cNvPicPr/>
                  </pic:nvPicPr>
                  <pic:blipFill>
                    <a:blip r:embed="rId40" cstate="print"/>
                    <a:stretch>
                      <a:fillRect/>
                    </a:stretch>
                  </pic:blipFill>
                  <pic:spPr>
                    <a:xfrm>
                      <a:off x="0" y="0"/>
                      <a:ext cx="3266518" cy="1357884"/>
                    </a:xfrm>
                    <a:prstGeom prst="rect">
                      <a:avLst/>
                    </a:prstGeom>
                  </pic:spPr>
                </pic:pic>
              </a:graphicData>
            </a:graphic>
          </wp:inline>
        </w:drawing>
      </w:r>
      <w:r>
        <w:rPr>
          <w:rFonts w:ascii="Ebrima"/>
          <w:position w:val="7"/>
          <w:sz w:val="20"/>
        </w:rPr>
      </w:r>
      <w:r>
        <w:rPr>
          <w:rFonts w:ascii="Ebrima"/>
          <w:position w:val="7"/>
          <w:sz w:val="20"/>
        </w:rPr>
        <w:tab/>
      </w:r>
      <w:r>
        <w:rPr>
          <w:rFonts w:ascii="Ebrima"/>
          <w:sz w:val="20"/>
        </w:rPr>
        <w:drawing>
          <wp:inline distT="0" distB="0" distL="0" distR="0">
            <wp:extent cx="2546185" cy="1419605"/>
            <wp:effectExtent l="0" t="0" r="0" b="0"/>
            <wp:docPr id="43" name="image32.jpeg" descr=""/>
            <wp:cNvGraphicFramePr>
              <a:graphicFrameLocks noChangeAspect="1"/>
            </wp:cNvGraphicFramePr>
            <a:graphic>
              <a:graphicData uri="http://schemas.openxmlformats.org/drawingml/2006/picture">
                <pic:pic>
                  <pic:nvPicPr>
                    <pic:cNvPr id="44" name="image32.jpeg"/>
                    <pic:cNvPicPr/>
                  </pic:nvPicPr>
                  <pic:blipFill>
                    <a:blip r:embed="rId41" cstate="print"/>
                    <a:stretch>
                      <a:fillRect/>
                    </a:stretch>
                  </pic:blipFill>
                  <pic:spPr>
                    <a:xfrm>
                      <a:off x="0" y="0"/>
                      <a:ext cx="2546185" cy="1419605"/>
                    </a:xfrm>
                    <a:prstGeom prst="rect">
                      <a:avLst/>
                    </a:prstGeom>
                  </pic:spPr>
                </pic:pic>
              </a:graphicData>
            </a:graphic>
          </wp:inline>
        </w:drawing>
      </w:r>
      <w:r>
        <w:rPr>
          <w:rFonts w:ascii="Ebrima"/>
          <w:sz w:val="20"/>
        </w:rPr>
      </w:r>
    </w:p>
    <w:p>
      <w:pPr>
        <w:pStyle w:val="BodyText"/>
        <w:spacing w:line="261" w:lineRule="auto" w:before="238"/>
        <w:ind w:left="1440" w:right="1438"/>
        <w:jc w:val="both"/>
      </w:pPr>
      <w:r>
        <w:rPr>
          <w:color w:val="221F1F"/>
        </w:rPr>
        <w:t>Suburban Employment areas provide opportunities for a broad array of employment uses within an environment that provides gathering spaces and opportunities for synergies among businesses. These offer prime locations for office, production, flex space, and warehousing uses as well as startups and established businesses. Appropriate uses do not generate excessive noise or air pollutants or require outdoor storage. Limited first floor retail that supports predominant uses is appropriate.</w:t>
      </w:r>
    </w:p>
    <w:p>
      <w:pPr>
        <w:pStyle w:val="BodyText"/>
        <w:spacing w:before="136"/>
        <w:ind w:left="1440" w:right="1442"/>
        <w:jc w:val="both"/>
      </w:pPr>
      <w:r>
        <w:rPr>
          <w:color w:val="221F1F"/>
        </w:rPr>
        <w:t>Parking should generally be located behind the building to ensure the buildings are the predominant feature when viewed from roadways and adjacent properties.</w:t>
      </w:r>
    </w:p>
    <w:p>
      <w:pPr>
        <w:pStyle w:val="BodyText"/>
        <w:spacing w:before="159"/>
        <w:ind w:left="1440" w:right="1440"/>
        <w:jc w:val="both"/>
      </w:pPr>
      <w:r>
        <w:rPr/>
        <w:pict>
          <v:group style="position:absolute;margin-left:399.459991pt;margin-top:70.613113pt;width:124.5pt;height:125.25pt;mso-position-horizontal-relative:page;mso-position-vertical-relative:paragraph;z-index:-30064" coordorigin="7989,1412" coordsize="2490,2505">
            <v:shape style="position:absolute;left:7989;top:1427;width:2490;height:2490" coordorigin="7989,1428" coordsize="2490,2490" path="m9234,1428l9158,1430,9158,1430,9084,1437,9010,1448,8938,1463,8868,1482,8800,1506,8733,1533,8668,1564,8606,1598,8545,1635,8487,1676,8432,1721,8379,1768,8329,1818,8282,1871,8238,1926,8197,1984,8159,2044,8125,2107,8094,2172,8067,2238,8044,2307,8025,2377,8009,2449,7998,2522,7991,2597,7989,2673,7991,2748,7998,2823,8009,2896,8025,2968,8044,3038,8067,3107,8094,3174,8125,3238,8159,3301,8197,3361,8238,3419,8282,3475,8329,3527,8379,3577,8432,3625,8487,3669,8545,3710,8606,3747,8668,3782,8733,3812,8800,3839,8868,3863,8938,3882,9010,3897,9084,3908,9158,3915,9234,3917,9310,3915,9384,3908,9458,3897,9530,3882,9600,3863,9668,3839,9735,3812,9800,3782,9862,3747,9923,3710,9981,3669,10036,3625,10089,3577,10139,3527,10186,3475,10230,3419,10271,3361,10309,3301,10312,3295,9234,3295,9161,3291,9091,3278,9024,3259,8960,3232,8900,3198,8845,3158,8794,3113,8748,3062,8708,3006,8675,2946,8648,2882,8628,2815,8616,2745,8612,2673,8616,2600,8628,2530,8648,2463,8675,2399,8708,2339,8748,2283,8794,2233,8845,2187,8900,2147,8960,2114,9024,2087,9091,2067,9161,2054,9234,2050,9234,1428xm9234,1428l9234,2050,9307,2054,9377,2067,9444,2087,9508,2114,9568,2147,9623,2187,9674,2233,9720,2283,9760,2339,9793,2399,9820,2463,9840,2530,9852,2600,9856,2673,9852,2745,9840,2815,9820,2882,9793,2946,9760,3006,9720,3062,9674,3113,9623,3158,9568,3198,9508,3232,9444,3259,9377,3278,9307,3291,9234,3295,10312,3295,10343,3238,10374,3174,10401,3107,10424,3038,10443,2968,10459,2896,10470,2823,10477,2748,10479,2673,10477,2597,10470,2522,10459,2449,10443,2377,10424,2307,10401,2238,10374,2172,10343,2107,10309,2044,10271,1984,10230,1926,10186,1871,10139,1818,10089,1768,10036,1721,9981,1676,9923,1635,9862,1598,9800,1564,9735,1533,9668,1506,9600,1482,9530,1463,9458,1448,9384,1437,9310,1430,9234,1428xe" filled="true" fillcolor="#5b9bd4" stroked="false">
              <v:path arrowok="t"/>
              <v:fill type="solid"/>
            </v:shape>
            <v:shape style="position:absolute;left:-623;top:7209;width:1245;height:1867" coordorigin="-622,7210" coordsize="1245,1867" path="m9234,1428l9234,2050,9161,2054,9091,2067,9024,2087,8960,2114,8900,2147,8845,2187,8794,2233,8748,2283,8708,2339,8675,2399,8648,2463,8628,2530,8616,2600,8612,2673,8616,2745,8628,2815,8648,2882,8675,2946,8708,3006,8748,3062,8794,3113,8845,3158,8900,3198,8960,3232,9024,3259,9091,3278,9161,3291,9234,3295,9307,3291,9377,3278,9444,3259,9508,3232,9568,3198,9623,3158,9674,3113,9720,3062,9760,3006,9793,2946,9820,2882,9840,2815,9852,2745,9856,2673,9852,2600,9840,2530,9820,2463,9793,2399,9760,2339,9720,2283,9674,2233,9623,2187,9568,2147,9508,2114,9444,2087,9377,2067,9307,2054,9234,2050,9234,1428xm9234,1428l9234,2050e" filled="false" stroked="true" strokeweight="1.56pt" strokecolor="#ffffff">
              <v:path arrowok="t"/>
              <v:stroke dashstyle="solid"/>
            </v:shape>
            <w10:wrap type="none"/>
          </v:group>
        </w:pict>
      </w:r>
      <w:r>
        <w:rPr>
          <w:color w:val="221F1F"/>
        </w:rPr>
        <w:t>Although civic or recreation space is not expected, required open space in Suburban</w:t>
      </w:r>
      <w:r>
        <w:rPr>
          <w:color w:val="221F1F"/>
          <w:spacing w:val="-24"/>
        </w:rPr>
        <w:t> </w:t>
      </w:r>
      <w:r>
        <w:rPr>
          <w:color w:val="221F1F"/>
        </w:rPr>
        <w:t>Employment developments should include areas for use by customers and</w:t>
      </w:r>
      <w:r>
        <w:rPr>
          <w:color w:val="221F1F"/>
          <w:spacing w:val="-9"/>
        </w:rPr>
        <w:t> </w:t>
      </w:r>
      <w:r>
        <w:rPr>
          <w:color w:val="221F1F"/>
        </w:rPr>
        <w:t>employees.</w:t>
      </w:r>
    </w:p>
    <w:p>
      <w:pPr>
        <w:pStyle w:val="BodyText"/>
        <w:spacing w:before="8"/>
        <w:rPr>
          <w:sz w:val="14"/>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3"/>
        <w:gridCol w:w="3125"/>
        <w:gridCol w:w="3104"/>
      </w:tblGrid>
      <w:tr>
        <w:trPr>
          <w:trHeight w:val="275" w:hRule="atLeast"/>
        </w:trPr>
        <w:tc>
          <w:tcPr>
            <w:tcW w:w="3123" w:type="dxa"/>
          </w:tcPr>
          <w:p>
            <w:pPr>
              <w:pStyle w:val="TableParagraph"/>
              <w:spacing w:line="256" w:lineRule="exact"/>
              <w:ind w:left="623"/>
              <w:rPr>
                <w:b/>
                <w:sz w:val="24"/>
              </w:rPr>
            </w:pPr>
            <w:r>
              <w:rPr>
                <w:b/>
                <w:color w:val="221F1F"/>
                <w:sz w:val="24"/>
              </w:rPr>
              <w:t>Predominant Uses</w:t>
            </w:r>
          </w:p>
        </w:tc>
        <w:tc>
          <w:tcPr>
            <w:tcW w:w="3125" w:type="dxa"/>
          </w:tcPr>
          <w:p>
            <w:pPr>
              <w:pStyle w:val="TableParagraph"/>
              <w:spacing w:line="256" w:lineRule="exact"/>
              <w:ind w:left="707"/>
              <w:rPr>
                <w:b/>
                <w:sz w:val="24"/>
              </w:rPr>
            </w:pPr>
            <w:r>
              <w:rPr>
                <w:b/>
                <w:sz w:val="24"/>
              </w:rPr>
              <w:t>Secondary Uses</w:t>
            </w:r>
          </w:p>
        </w:tc>
        <w:tc>
          <w:tcPr>
            <w:tcW w:w="3104" w:type="dxa"/>
          </w:tcPr>
          <w:p>
            <w:pPr>
              <w:pStyle w:val="TableParagraph"/>
              <w:spacing w:line="234" w:lineRule="exact"/>
              <w:ind w:left="609"/>
              <w:rPr>
                <w:b/>
                <w:sz w:val="24"/>
              </w:rPr>
            </w:pPr>
            <w:r>
              <w:rPr>
                <w:b/>
                <w:sz w:val="24"/>
              </w:rPr>
              <w:t>Ideal Mix of Uses</w:t>
            </w:r>
          </w:p>
        </w:tc>
      </w:tr>
      <w:tr>
        <w:trPr>
          <w:trHeight w:val="4466" w:hRule="atLeast"/>
        </w:trPr>
        <w:tc>
          <w:tcPr>
            <w:tcW w:w="3123" w:type="dxa"/>
          </w:tcPr>
          <w:p>
            <w:pPr>
              <w:pStyle w:val="TableParagraph"/>
              <w:spacing w:before="6"/>
              <w:rPr>
                <w:sz w:val="21"/>
              </w:rPr>
            </w:pPr>
          </w:p>
          <w:p>
            <w:pPr>
              <w:pStyle w:val="TableParagraph"/>
              <w:numPr>
                <w:ilvl w:val="0"/>
                <w:numId w:val="7"/>
              </w:numPr>
              <w:tabs>
                <w:tab w:pos="803" w:val="left" w:leader="none"/>
                <w:tab w:pos="804" w:val="left" w:leader="none"/>
              </w:tabs>
              <w:spacing w:line="252" w:lineRule="exact" w:before="0" w:after="0"/>
              <w:ind w:left="803" w:right="0" w:hanging="360"/>
              <w:jc w:val="left"/>
              <w:rPr>
                <w:sz w:val="22"/>
              </w:rPr>
            </w:pPr>
            <w:r>
              <w:rPr>
                <w:sz w:val="22"/>
              </w:rPr>
              <w:t>Light Production</w:t>
            </w:r>
          </w:p>
          <w:p>
            <w:pPr>
              <w:pStyle w:val="TableParagraph"/>
              <w:numPr>
                <w:ilvl w:val="0"/>
                <w:numId w:val="7"/>
              </w:numPr>
              <w:tabs>
                <w:tab w:pos="803" w:val="left" w:leader="none"/>
                <w:tab w:pos="804" w:val="left" w:leader="none"/>
              </w:tabs>
              <w:spacing w:line="252" w:lineRule="exact" w:before="0" w:after="0"/>
              <w:ind w:left="803" w:right="0" w:hanging="360"/>
              <w:jc w:val="left"/>
              <w:rPr>
                <w:sz w:val="22"/>
              </w:rPr>
            </w:pPr>
            <w:r>
              <w:rPr>
                <w:sz w:val="22"/>
              </w:rPr>
              <w:t>Office</w:t>
            </w:r>
          </w:p>
          <w:p>
            <w:pPr>
              <w:pStyle w:val="TableParagraph"/>
              <w:numPr>
                <w:ilvl w:val="0"/>
                <w:numId w:val="7"/>
              </w:numPr>
              <w:tabs>
                <w:tab w:pos="803" w:val="left" w:leader="none"/>
                <w:tab w:pos="804" w:val="left" w:leader="none"/>
              </w:tabs>
              <w:spacing w:line="240" w:lineRule="auto" w:before="2" w:after="0"/>
              <w:ind w:left="803" w:right="1123" w:hanging="360"/>
              <w:jc w:val="left"/>
              <w:rPr>
                <w:sz w:val="22"/>
              </w:rPr>
            </w:pPr>
            <w:r>
              <w:rPr>
                <w:sz w:val="22"/>
              </w:rPr>
              <w:t>Research &amp; </w:t>
            </w:r>
            <w:r>
              <w:rPr>
                <w:spacing w:val="-1"/>
                <w:sz w:val="22"/>
              </w:rPr>
              <w:t>Development</w:t>
            </w:r>
          </w:p>
          <w:p>
            <w:pPr>
              <w:pStyle w:val="TableParagraph"/>
              <w:numPr>
                <w:ilvl w:val="0"/>
                <w:numId w:val="7"/>
              </w:numPr>
              <w:tabs>
                <w:tab w:pos="803" w:val="left" w:leader="none"/>
                <w:tab w:pos="804" w:val="left" w:leader="none"/>
              </w:tabs>
              <w:spacing w:line="251" w:lineRule="exact" w:before="0" w:after="0"/>
              <w:ind w:left="803" w:right="0" w:hanging="360"/>
              <w:jc w:val="left"/>
              <w:rPr>
                <w:sz w:val="22"/>
              </w:rPr>
            </w:pPr>
            <w:r>
              <w:rPr>
                <w:sz w:val="22"/>
              </w:rPr>
              <w:t>Warehousing</w:t>
            </w:r>
          </w:p>
          <w:p>
            <w:pPr>
              <w:pStyle w:val="TableParagraph"/>
              <w:numPr>
                <w:ilvl w:val="0"/>
                <w:numId w:val="7"/>
              </w:numPr>
              <w:tabs>
                <w:tab w:pos="803" w:val="left" w:leader="none"/>
                <w:tab w:pos="804" w:val="left" w:leader="none"/>
              </w:tabs>
              <w:spacing w:line="240" w:lineRule="auto" w:before="1" w:after="0"/>
              <w:ind w:left="803" w:right="638" w:hanging="360"/>
              <w:jc w:val="left"/>
              <w:rPr>
                <w:sz w:val="22"/>
              </w:rPr>
            </w:pPr>
            <w:r>
              <w:rPr>
                <w:sz w:val="22"/>
              </w:rPr>
              <w:t>Contractor without Outdoor</w:t>
            </w:r>
            <w:r>
              <w:rPr>
                <w:spacing w:val="-3"/>
                <w:sz w:val="22"/>
              </w:rPr>
              <w:t> </w:t>
            </w:r>
            <w:r>
              <w:rPr>
                <w:sz w:val="22"/>
              </w:rPr>
              <w:t>Storage</w:t>
            </w:r>
          </w:p>
          <w:p>
            <w:pPr>
              <w:pStyle w:val="TableParagraph"/>
              <w:numPr>
                <w:ilvl w:val="0"/>
                <w:numId w:val="7"/>
              </w:numPr>
              <w:tabs>
                <w:tab w:pos="803" w:val="left" w:leader="none"/>
                <w:tab w:pos="804" w:val="left" w:leader="none"/>
              </w:tabs>
              <w:spacing w:line="253" w:lineRule="exact" w:before="1" w:after="0"/>
              <w:ind w:left="803" w:right="0" w:hanging="360"/>
              <w:jc w:val="left"/>
              <w:rPr>
                <w:sz w:val="22"/>
              </w:rPr>
            </w:pPr>
            <w:r>
              <w:rPr>
                <w:sz w:val="22"/>
              </w:rPr>
              <w:t>Data</w:t>
            </w:r>
            <w:r>
              <w:rPr>
                <w:spacing w:val="-1"/>
                <w:sz w:val="22"/>
              </w:rPr>
              <w:t> </w:t>
            </w:r>
            <w:r>
              <w:rPr>
                <w:sz w:val="22"/>
              </w:rPr>
              <w:t>Centers</w:t>
            </w:r>
          </w:p>
          <w:p>
            <w:pPr>
              <w:pStyle w:val="TableParagraph"/>
              <w:numPr>
                <w:ilvl w:val="0"/>
                <w:numId w:val="7"/>
              </w:numPr>
              <w:tabs>
                <w:tab w:pos="803" w:val="left" w:leader="none"/>
                <w:tab w:pos="804" w:val="left" w:leader="none"/>
              </w:tabs>
              <w:spacing w:line="240" w:lineRule="auto" w:before="0" w:after="0"/>
              <w:ind w:left="803" w:right="0" w:hanging="360"/>
              <w:jc w:val="left"/>
              <w:rPr>
                <w:sz w:val="22"/>
              </w:rPr>
            </w:pPr>
            <w:r>
              <w:rPr>
                <w:sz w:val="22"/>
              </w:rPr>
              <w:t>Flex Space</w:t>
            </w:r>
          </w:p>
        </w:tc>
        <w:tc>
          <w:tcPr>
            <w:tcW w:w="3125" w:type="dxa"/>
          </w:tcPr>
          <w:p>
            <w:pPr>
              <w:pStyle w:val="TableParagraph"/>
              <w:spacing w:before="6"/>
              <w:rPr>
                <w:sz w:val="21"/>
              </w:rPr>
            </w:pPr>
          </w:p>
          <w:p>
            <w:pPr>
              <w:pStyle w:val="TableParagraph"/>
              <w:numPr>
                <w:ilvl w:val="0"/>
                <w:numId w:val="8"/>
              </w:numPr>
              <w:tabs>
                <w:tab w:pos="832" w:val="left" w:leader="none"/>
                <w:tab w:pos="833" w:val="left" w:leader="none"/>
              </w:tabs>
              <w:spacing w:line="240" w:lineRule="auto" w:before="0" w:after="0"/>
              <w:ind w:left="832" w:right="813" w:hanging="360"/>
              <w:jc w:val="left"/>
              <w:rPr>
                <w:sz w:val="22"/>
              </w:rPr>
            </w:pPr>
            <w:r>
              <w:rPr>
                <w:sz w:val="22"/>
              </w:rPr>
              <w:t>Retail &amp; Service Commercial</w:t>
            </w:r>
          </w:p>
          <w:p>
            <w:pPr>
              <w:pStyle w:val="TableParagraph"/>
              <w:numPr>
                <w:ilvl w:val="0"/>
                <w:numId w:val="8"/>
              </w:numPr>
              <w:tabs>
                <w:tab w:pos="832" w:val="left" w:leader="none"/>
                <w:tab w:pos="833" w:val="left" w:leader="none"/>
              </w:tabs>
              <w:spacing w:line="252" w:lineRule="exact" w:before="1" w:after="0"/>
              <w:ind w:left="832" w:right="0" w:hanging="360"/>
              <w:jc w:val="left"/>
              <w:rPr>
                <w:sz w:val="22"/>
              </w:rPr>
            </w:pPr>
            <w:r>
              <w:rPr>
                <w:sz w:val="22"/>
              </w:rPr>
              <w:t>Institutional</w:t>
            </w:r>
          </w:p>
          <w:p>
            <w:pPr>
              <w:pStyle w:val="TableParagraph"/>
              <w:numPr>
                <w:ilvl w:val="0"/>
                <w:numId w:val="8"/>
              </w:numPr>
              <w:tabs>
                <w:tab w:pos="832" w:val="left" w:leader="none"/>
                <w:tab w:pos="833" w:val="left" w:leader="none"/>
              </w:tabs>
              <w:spacing w:line="240" w:lineRule="auto" w:before="0" w:after="0"/>
              <w:ind w:left="832" w:right="744" w:hanging="360"/>
              <w:jc w:val="left"/>
              <w:rPr>
                <w:sz w:val="22"/>
              </w:rPr>
            </w:pPr>
            <w:r>
              <w:rPr>
                <w:sz w:val="22"/>
              </w:rPr>
              <w:t>Civic, Cultural &amp; Community</w:t>
            </w:r>
          </w:p>
          <w:p>
            <w:pPr>
              <w:pStyle w:val="TableParagraph"/>
              <w:numPr>
                <w:ilvl w:val="0"/>
                <w:numId w:val="8"/>
              </w:numPr>
              <w:tabs>
                <w:tab w:pos="832" w:val="left" w:leader="none"/>
                <w:tab w:pos="833" w:val="left" w:leader="none"/>
              </w:tabs>
              <w:spacing w:line="240" w:lineRule="auto" w:before="0" w:after="0"/>
              <w:ind w:left="832" w:right="0" w:hanging="360"/>
              <w:jc w:val="left"/>
              <w:rPr>
                <w:sz w:val="22"/>
              </w:rPr>
            </w:pPr>
            <w:r>
              <w:rPr>
                <w:sz w:val="22"/>
              </w:rPr>
              <w:t>Public</w:t>
            </w:r>
            <w:r>
              <w:rPr>
                <w:spacing w:val="-1"/>
                <w:sz w:val="22"/>
              </w:rPr>
              <w:t> </w:t>
            </w:r>
            <w:r>
              <w:rPr>
                <w:sz w:val="22"/>
              </w:rPr>
              <w:t>Facilities</w:t>
            </w:r>
          </w:p>
        </w:tc>
        <w:tc>
          <w:tcPr>
            <w:tcW w:w="310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6"/>
              </w:rPr>
            </w:pPr>
          </w:p>
          <w:p>
            <w:pPr>
              <w:pStyle w:val="TableParagraph"/>
              <w:ind w:left="1077" w:right="1140" w:firstLine="2"/>
              <w:jc w:val="center"/>
              <w:rPr>
                <w:rFonts w:ascii="Calibri"/>
                <w:b/>
                <w:sz w:val="18"/>
              </w:rPr>
            </w:pPr>
            <w:r>
              <w:rPr>
                <w:rFonts w:ascii="Calibri"/>
                <w:b/>
                <w:sz w:val="18"/>
              </w:rPr>
              <w:t>Non </w:t>
            </w:r>
            <w:r>
              <w:rPr>
                <w:rFonts w:ascii="Calibri"/>
                <w:b/>
                <w:spacing w:val="-1"/>
                <w:sz w:val="18"/>
              </w:rPr>
              <w:t>Residential, </w:t>
            </w:r>
            <w:r>
              <w:rPr>
                <w:rFonts w:ascii="Calibri"/>
                <w:b/>
                <w:sz w:val="18"/>
              </w:rPr>
              <w:t>100%</w:t>
            </w:r>
          </w:p>
          <w:p>
            <w:pPr>
              <w:pStyle w:val="TableParagraph"/>
              <w:rPr>
                <w:sz w:val="18"/>
              </w:rPr>
            </w:pPr>
          </w:p>
          <w:p>
            <w:pPr>
              <w:pStyle w:val="TableParagraph"/>
              <w:spacing w:before="7"/>
              <w:rPr>
                <w:sz w:val="20"/>
              </w:rPr>
            </w:pPr>
          </w:p>
          <w:p>
            <w:pPr>
              <w:pStyle w:val="TableParagraph"/>
              <w:ind w:left="549" w:right="1027"/>
              <w:rPr>
                <w:sz w:val="22"/>
              </w:rPr>
            </w:pPr>
            <w:r>
              <w:rPr>
                <w:sz w:val="22"/>
              </w:rPr>
              <w:t>Possible Ranges: Res: 0%</w:t>
            </w:r>
          </w:p>
          <w:p>
            <w:pPr>
              <w:pStyle w:val="TableParagraph"/>
              <w:ind w:left="549" w:right="563"/>
              <w:rPr>
                <w:sz w:val="22"/>
              </w:rPr>
            </w:pPr>
            <w:r>
              <w:rPr>
                <w:sz w:val="22"/>
              </w:rPr>
              <w:t>Non-Res: Up to 100% Public/Civic: 0%+</w:t>
            </w:r>
          </w:p>
        </w:tc>
      </w:tr>
    </w:tbl>
    <w:p>
      <w:pPr>
        <w:spacing w:after="0"/>
        <w:rPr>
          <w:sz w:val="22"/>
        </w:rPr>
        <w:sectPr>
          <w:pgSz w:w="12240" w:h="15840"/>
          <w:pgMar w:header="719" w:footer="443" w:top="920" w:bottom="740" w:left="0" w:right="0"/>
        </w:sectPr>
      </w:pPr>
    </w:p>
    <w:p>
      <w:pPr>
        <w:pStyle w:val="BodyText"/>
        <w:rPr>
          <w:sz w:val="20"/>
        </w:rPr>
      </w:pPr>
    </w:p>
    <w:p>
      <w:pPr>
        <w:pStyle w:val="Heading3"/>
        <w:spacing w:before="265"/>
        <w:rPr>
          <w:rFonts w:ascii="Times New Roman"/>
        </w:rPr>
      </w:pPr>
      <w:r>
        <w:rPr>
          <w:rFonts w:ascii="Times New Roman"/>
        </w:rPr>
        <w:t>DESIGN CHARACTERISTICS</w:t>
      </w:r>
    </w:p>
    <w:p>
      <w:pPr>
        <w:pStyle w:val="Heading5"/>
        <w:spacing w:line="274" w:lineRule="exact" w:before="187"/>
      </w:pPr>
      <w:r>
        <w:rPr/>
        <w:t>Context:</w:t>
      </w:r>
    </w:p>
    <w:p>
      <w:pPr>
        <w:pStyle w:val="BodyText"/>
        <w:ind w:left="1440" w:right="2716"/>
      </w:pPr>
      <w:r>
        <w:rPr/>
        <w:pict>
          <v:shape style="position:absolute;margin-left:72pt;margin-top:32.633121pt;width:279.6pt;height:170.4pt;mso-position-horizontal-relative:page;mso-position-vertical-relative:paragraph;z-index:4312;mso-wrap-distance-left:0;mso-wrap-distance-right:0" type="#_x0000_t202" filled="false" stroked="true" strokeweight=".75pt" strokecolor="#000000">
            <v:textbox inset="0,0,0,0">
              <w:txbxContent>
                <w:p>
                  <w:pPr>
                    <w:spacing w:before="71"/>
                    <w:ind w:left="144" w:right="0" w:firstLine="0"/>
                    <w:jc w:val="left"/>
                    <w:rPr>
                      <w:b/>
                      <w:sz w:val="22"/>
                    </w:rPr>
                  </w:pPr>
                  <w:r>
                    <w:rPr>
                      <w:b/>
                      <w:sz w:val="22"/>
                    </w:rPr>
                    <w:t>Street Pattern:</w:t>
                  </w:r>
                </w:p>
                <w:p>
                  <w:pPr>
                    <w:spacing w:before="13"/>
                    <w:ind w:left="144" w:right="0" w:firstLine="0"/>
                    <w:jc w:val="left"/>
                    <w:rPr>
                      <w:sz w:val="22"/>
                    </w:rPr>
                  </w:pPr>
                  <w:r>
                    <w:rPr>
                      <w:sz w:val="22"/>
                    </w:rPr>
                    <w:t>Rectilinear Grid or Fragmented Parallel</w:t>
                  </w:r>
                </w:p>
                <w:p>
                  <w:pPr>
                    <w:spacing w:line="259" w:lineRule="auto" w:before="26"/>
                    <w:ind w:left="144" w:right="3749" w:firstLine="0"/>
                    <w:jc w:val="left"/>
                    <w:rPr>
                      <w:b/>
                      <w:sz w:val="22"/>
                    </w:rPr>
                  </w:pPr>
                  <w:r>
                    <w:rPr>
                      <w:b/>
                      <w:sz w:val="22"/>
                    </w:rPr>
                    <w:t>Block Length: </w:t>
                  </w:r>
                  <w:r>
                    <w:rPr>
                      <w:sz w:val="22"/>
                    </w:rPr>
                    <w:t>300-1,000 feet </w:t>
                  </w:r>
                  <w:r>
                    <w:rPr>
                      <w:b/>
                      <w:sz w:val="22"/>
                    </w:rPr>
                    <w:t>Building Setback:</w:t>
                  </w:r>
                </w:p>
                <w:p>
                  <w:pPr>
                    <w:spacing w:line="247" w:lineRule="exact" w:before="0"/>
                    <w:ind w:left="144" w:right="0" w:firstLine="0"/>
                    <w:jc w:val="left"/>
                    <w:rPr>
                      <w:sz w:val="22"/>
                    </w:rPr>
                  </w:pPr>
                  <w:r>
                    <w:rPr>
                      <w:sz w:val="22"/>
                    </w:rPr>
                    <w:t>Short to medium; greater if flex use</w:t>
                  </w:r>
                </w:p>
                <w:p>
                  <w:pPr>
                    <w:spacing w:before="25"/>
                    <w:ind w:left="144" w:right="0" w:firstLine="0"/>
                    <w:jc w:val="left"/>
                    <w:rPr>
                      <w:b/>
                      <w:sz w:val="22"/>
                    </w:rPr>
                  </w:pPr>
                  <w:r>
                    <w:rPr>
                      <w:b/>
                      <w:sz w:val="22"/>
                    </w:rPr>
                    <w:t>Parking:</w:t>
                  </w:r>
                </w:p>
                <w:p>
                  <w:pPr>
                    <w:spacing w:before="16"/>
                    <w:ind w:left="144" w:right="0" w:firstLine="0"/>
                    <w:jc w:val="left"/>
                    <w:rPr>
                      <w:sz w:val="22"/>
                    </w:rPr>
                  </w:pPr>
                  <w:r>
                    <w:rPr>
                      <w:sz w:val="22"/>
                    </w:rPr>
                    <w:t>Structured, on-street, accessory, or short-term</w:t>
                  </w:r>
                </w:p>
                <w:p>
                  <w:pPr>
                    <w:spacing w:before="26"/>
                    <w:ind w:left="144" w:right="0" w:firstLine="0"/>
                    <w:jc w:val="left"/>
                    <w:rPr>
                      <w:b/>
                      <w:sz w:val="22"/>
                    </w:rPr>
                  </w:pPr>
                  <w:r>
                    <w:rPr>
                      <w:b/>
                      <w:sz w:val="22"/>
                    </w:rPr>
                    <w:t>Design Amenities:</w:t>
                  </w:r>
                </w:p>
                <w:p>
                  <w:pPr>
                    <w:spacing w:before="14"/>
                    <w:ind w:left="144" w:right="0" w:firstLine="0"/>
                    <w:jc w:val="left"/>
                    <w:rPr>
                      <w:sz w:val="22"/>
                    </w:rPr>
                  </w:pPr>
                  <w:r>
                    <w:rPr>
                      <w:sz w:val="22"/>
                    </w:rPr>
                    <w:t>Sidewalks, street trees, shade trees, bike racks</w:t>
                  </w:r>
                </w:p>
                <w:p>
                  <w:pPr>
                    <w:spacing w:before="25"/>
                    <w:ind w:left="144" w:right="0" w:firstLine="0"/>
                    <w:jc w:val="left"/>
                    <w:rPr>
                      <w:b/>
                      <w:sz w:val="22"/>
                    </w:rPr>
                  </w:pPr>
                  <w:r>
                    <w:rPr>
                      <w:b/>
                      <w:sz w:val="22"/>
                    </w:rPr>
                    <w:t>Open Space:</w:t>
                  </w:r>
                </w:p>
                <w:p>
                  <w:pPr>
                    <w:spacing w:before="16"/>
                    <w:ind w:left="144" w:right="0" w:firstLine="0"/>
                    <w:jc w:val="left"/>
                    <w:rPr>
                      <w:sz w:val="22"/>
                    </w:rPr>
                  </w:pPr>
                  <w:r>
                    <w:rPr>
                      <w:sz w:val="22"/>
                    </w:rPr>
                    <w:t>30% of the site</w:t>
                  </w:r>
                </w:p>
              </w:txbxContent>
            </v:textbox>
            <v:stroke dashstyle="solid"/>
            <w10:wrap type="topAndBottom"/>
          </v:shape>
        </w:pict>
      </w:r>
      <w:r>
        <w:rPr/>
        <w:t>Separate employment uses that are integrated within a walkable, employment-based environment.</w:t>
      </w:r>
    </w:p>
    <w:p>
      <w:pPr>
        <w:pStyle w:val="BodyText"/>
        <w:spacing w:before="4"/>
      </w:pPr>
    </w:p>
    <w:p>
      <w:pPr>
        <w:pStyle w:val="Heading5"/>
        <w:spacing w:line="274" w:lineRule="exact"/>
      </w:pPr>
      <w:r>
        <w:rPr/>
        <w:t>Place Type Rendering</w:t>
      </w:r>
    </w:p>
    <w:p>
      <w:pPr>
        <w:spacing w:line="240" w:lineRule="auto" w:before="0"/>
        <w:ind w:left="1440" w:right="1495"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Heading5"/>
        <w:tabs>
          <w:tab w:pos="4320" w:val="left" w:leader="none"/>
        </w:tabs>
        <w:spacing w:before="221"/>
      </w:pPr>
      <w:r>
        <w:rPr/>
        <w:pict>
          <v:group style="position:absolute;margin-left:72pt;margin-top:31.103111pt;width:480pt;height:184.7pt;mso-position-horizontal-relative:page;mso-position-vertical-relative:paragraph;z-index:-30016" coordorigin="1440,622" coordsize="9600,3694">
            <v:shape style="position:absolute;left:1440;top:622;width:5009;height:2745" type="#_x0000_t75" stroked="false">
              <v:imagedata r:id="rId42" o:title=""/>
            </v:shape>
            <v:shape style="position:absolute;left:5988;top:1546;width:5052;height:2769" type="#_x0000_t75" stroked="false">
              <v:imagedata r:id="rId43" o:title=""/>
            </v:shape>
            <w10:wrap type="none"/>
          </v:group>
        </w:pict>
      </w:r>
      <w:r>
        <w:rPr/>
        <w:t>Total FAR: Up</w:t>
      </w:r>
      <w:r>
        <w:rPr>
          <w:spacing w:val="-3"/>
        </w:rPr>
        <w:t> </w:t>
      </w:r>
      <w:r>
        <w:rPr/>
        <w:t>to</w:t>
      </w:r>
      <w:r>
        <w:rPr>
          <w:spacing w:val="-2"/>
        </w:rPr>
        <w:t> </w:t>
      </w:r>
      <w:r>
        <w:rPr/>
        <w:t>1.0</w:t>
        <w:tab/>
        <w:t>Building Height: 2 to 8</w:t>
      </w:r>
      <w:r>
        <w:rPr>
          <w:spacing w:val="-6"/>
        </w:rPr>
        <w:t> </w:t>
      </w:r>
      <w:r>
        <w:rPr/>
        <w:t>stories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7"/>
        </w:rPr>
      </w:pPr>
    </w:p>
    <w:p>
      <w:pPr>
        <w:spacing w:before="1"/>
        <w:ind w:left="1440" w:right="0" w:firstLine="0"/>
        <w:jc w:val="left"/>
        <w:rPr>
          <w:b/>
          <w:sz w:val="24"/>
        </w:rPr>
      </w:pPr>
      <w:r>
        <w:rPr>
          <w:b/>
          <w:sz w:val="24"/>
        </w:rPr>
        <w:t>Transition</w:t>
      </w:r>
    </w:p>
    <w:p>
      <w:pPr>
        <w:pStyle w:val="BodyText"/>
        <w:spacing w:line="259" w:lineRule="auto" w:before="17"/>
        <w:ind w:left="1440" w:right="1435"/>
        <w:jc w:val="both"/>
      </w:pPr>
      <w:r>
        <w:rPr/>
        <w:t>Transitions between Suburban Employment uses and other developments, in particular adjacent residential neighborhoods, are vitally important. Building heights should step down appropriately to less intense residential uses. In developments adjoining less intensive uses, building heights should decrease moving outward from the center of the development, stepping down to heights generally within one story of adjacent structures.</w:t>
      </w:r>
    </w:p>
    <w:p>
      <w:pPr>
        <w:pStyle w:val="BodyText"/>
        <w:spacing w:line="256" w:lineRule="auto" w:before="159"/>
        <w:ind w:left="1440" w:right="809"/>
      </w:pPr>
      <w:r>
        <w:rPr/>
        <w:t>Certain employment uses that may not be compatible with adjacent residential uses, such as data centers, should have transitional uses located in between.</w:t>
      </w:r>
    </w:p>
    <w:p>
      <w:pPr>
        <w:spacing w:after="0" w:line="256" w:lineRule="auto"/>
        <w:sectPr>
          <w:pgSz w:w="12240" w:h="15840"/>
          <w:pgMar w:header="719" w:footer="443" w:top="920" w:bottom="740" w:left="0" w:right="0"/>
        </w:sectPr>
      </w:pPr>
    </w:p>
    <w:p>
      <w:pPr>
        <w:pStyle w:val="Heading1"/>
        <w:tabs>
          <w:tab w:pos="1723" w:val="left" w:leader="none"/>
          <w:tab w:pos="11235" w:val="left" w:leader="none"/>
        </w:tabs>
        <w:spacing w:before="137"/>
      </w:pPr>
      <w:r>
        <w:rPr>
          <w:color w:val="FFFFFF"/>
          <w:w w:val="100"/>
          <w:shd w:fill="000073" w:color="auto" w:val="clear"/>
        </w:rPr>
        <w:t> </w:t>
      </w:r>
      <w:r>
        <w:rPr>
          <w:color w:val="FFFFFF"/>
          <w:shd w:fill="000073" w:color="auto" w:val="clear"/>
        </w:rPr>
        <w:tab/>
        <w:t>Suburban Industrial/Mineral</w:t>
      </w:r>
      <w:r>
        <w:rPr>
          <w:color w:val="FFFFFF"/>
          <w:spacing w:val="-26"/>
          <w:shd w:fill="000073" w:color="auto" w:val="clear"/>
        </w:rPr>
        <w:t> </w:t>
      </w:r>
      <w:r>
        <w:rPr>
          <w:color w:val="FFFFFF"/>
          <w:shd w:fill="000073" w:color="auto" w:val="clear"/>
        </w:rPr>
        <w:t>Extraction</w:t>
        <w:tab/>
      </w:r>
    </w:p>
    <w:p>
      <w:pPr>
        <w:pStyle w:val="BodyText"/>
        <w:spacing w:before="5"/>
        <w:rPr>
          <w:rFonts w:ascii="Ebrima"/>
          <w:b/>
          <w:sz w:val="14"/>
        </w:rPr>
      </w:pPr>
      <w:r>
        <w:rPr/>
        <w:drawing>
          <wp:anchor distT="0" distB="0" distL="0" distR="0" allowOverlap="1" layoutInCell="1" locked="0" behindDoc="0" simplePos="0" relativeHeight="4360">
            <wp:simplePos x="0" y="0"/>
            <wp:positionH relativeFrom="page">
              <wp:posOffset>647700</wp:posOffset>
            </wp:positionH>
            <wp:positionV relativeFrom="paragraph">
              <wp:posOffset>141962</wp:posOffset>
            </wp:positionV>
            <wp:extent cx="1974474" cy="1773078"/>
            <wp:effectExtent l="0" t="0" r="0" b="0"/>
            <wp:wrapTopAndBottom/>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44" cstate="print"/>
                    <a:stretch>
                      <a:fillRect/>
                    </a:stretch>
                  </pic:blipFill>
                  <pic:spPr>
                    <a:xfrm>
                      <a:off x="0" y="0"/>
                      <a:ext cx="1974474" cy="1773078"/>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2671952</wp:posOffset>
            </wp:positionH>
            <wp:positionV relativeFrom="paragraph">
              <wp:posOffset>141962</wp:posOffset>
            </wp:positionV>
            <wp:extent cx="2425896" cy="1748408"/>
            <wp:effectExtent l="0" t="0" r="0" b="0"/>
            <wp:wrapTopAndBottom/>
            <wp:docPr id="47" name="image36.jpeg" descr=""/>
            <wp:cNvGraphicFramePr>
              <a:graphicFrameLocks noChangeAspect="1"/>
            </wp:cNvGraphicFramePr>
            <a:graphic>
              <a:graphicData uri="http://schemas.openxmlformats.org/drawingml/2006/picture">
                <pic:pic>
                  <pic:nvPicPr>
                    <pic:cNvPr id="48" name="image36.jpeg"/>
                    <pic:cNvPicPr/>
                  </pic:nvPicPr>
                  <pic:blipFill>
                    <a:blip r:embed="rId45" cstate="print"/>
                    <a:stretch>
                      <a:fillRect/>
                    </a:stretch>
                  </pic:blipFill>
                  <pic:spPr>
                    <a:xfrm>
                      <a:off x="0" y="0"/>
                      <a:ext cx="2425896" cy="1748408"/>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5152263</wp:posOffset>
            </wp:positionH>
            <wp:positionV relativeFrom="paragraph">
              <wp:posOffset>141962</wp:posOffset>
            </wp:positionV>
            <wp:extent cx="1959884" cy="1753647"/>
            <wp:effectExtent l="0" t="0" r="0" b="0"/>
            <wp:wrapTopAndBottom/>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46" cstate="print"/>
                    <a:stretch>
                      <a:fillRect/>
                    </a:stretch>
                  </pic:blipFill>
                  <pic:spPr>
                    <a:xfrm>
                      <a:off x="0" y="0"/>
                      <a:ext cx="1959884" cy="1753647"/>
                    </a:xfrm>
                    <a:prstGeom prst="rect">
                      <a:avLst/>
                    </a:prstGeom>
                  </pic:spPr>
                </pic:pic>
              </a:graphicData>
            </a:graphic>
          </wp:anchor>
        </w:drawing>
      </w:r>
    </w:p>
    <w:p>
      <w:pPr>
        <w:pStyle w:val="BodyText"/>
        <w:spacing w:before="11"/>
        <w:rPr>
          <w:rFonts w:ascii="Ebrima"/>
          <w:b/>
          <w:sz w:val="48"/>
        </w:rPr>
      </w:pPr>
    </w:p>
    <w:p>
      <w:pPr>
        <w:pStyle w:val="BodyText"/>
        <w:ind w:left="1440" w:right="1438"/>
        <w:jc w:val="both"/>
        <w:rPr>
          <w:rFonts w:ascii="Calibri"/>
        </w:rPr>
      </w:pPr>
      <w:r>
        <w:rPr/>
        <w:pict>
          <v:group style="position:absolute;margin-left:396.700012pt;margin-top:160.143143pt;width:139.7pt;height:140.5pt;mso-position-horizontal-relative:page;mso-position-vertical-relative:paragraph;z-index:-29920" coordorigin="7934,3203" coordsize="2794,2810">
            <v:shape style="position:absolute;left:7934;top:3218;width:2794;height:2794" coordorigin="7934,3218" coordsize="2794,2794" path="m9331,3218l9254,3221,9179,3227,9104,3237,9031,3251,8960,3268,8889,3290,8821,3315,8754,3343,8689,3374,8626,3409,8565,3447,8506,3488,8449,3532,8395,3578,8343,3628,8294,3679,8247,3734,8204,3790,8163,3849,8125,3910,8090,3973,8058,4038,8030,4105,8005,4174,7984,4244,7966,4316,7952,4389,7942,4463,7936,4539,7934,4615,7936,4692,7942,4768,7952,4842,7966,4915,7984,4987,8005,5057,8030,5126,8058,5192,8090,5257,8125,5320,8163,5382,8204,5440,8247,5497,8294,5551,8343,5603,8395,5652,8449,5699,8506,5743,8565,5784,8626,5822,8689,5857,8754,5888,8821,5916,8889,5941,8960,5963,9031,5980,9104,5994,9179,6004,9254,6010,9331,6012,9408,6010,9483,6004,9558,5994,9631,5980,9702,5963,9773,5941,9841,5916,9908,5888,9973,5857,10036,5822,10097,5784,10156,5743,10213,5699,10267,5652,10319,5603,10368,5551,10415,5497,10458,5440,10499,5382,10537,5320,10541,5314,9331,5314,9255,5310,9181,5298,9110,5278,9042,5252,8978,5219,8918,5179,8863,5134,8812,5083,8767,5028,8728,4968,8695,4904,8668,4836,8649,4765,8636,4692,8632,4615,8636,4539,8649,4466,8668,4395,8695,4327,8728,4263,8767,4203,8812,4147,8863,4097,8918,4052,8978,4012,9042,3979,9110,3952,9181,3933,9255,3921,9331,3917,9331,3218xm9331,3218l9331,3917,9407,3921,9481,3933,9552,3952,9619,3979,9684,4012,9744,4052,9799,4097,9849,4147,9895,4203,9934,4263,9967,4327,9994,4395,10013,4466,10025,4539,10029,4615,10025,4692,10013,4765,9994,4836,9967,4904,9934,4968,9895,5028,9849,5083,9799,5134,9744,5179,9684,5219,9619,5252,9552,5278,9481,5298,9407,5310,9331,5314,10541,5314,10572,5257,10604,5192,10632,5126,10657,5057,10678,4987,10696,4915,10710,4842,10720,4768,10726,4692,10728,4615,10726,4539,10720,4463,10710,4389,10696,4316,10678,4244,10657,4174,10632,4105,10604,4038,10572,3973,10537,3910,10499,3849,10458,3790,10415,3734,10368,3679,10319,3628,10267,3578,10213,3532,10156,3488,10097,3447,10036,3409,9973,3374,9908,3343,9841,3315,9773,3290,9702,3268,9631,3251,9558,3237,9483,3227,9408,3221,9331,3218xe" filled="true" fillcolor="#4471c4" stroked="false">
              <v:path arrowok="t"/>
              <v:fill type="solid"/>
            </v:shape>
            <v:shape style="position:absolute;left:-699;top:10660;width:1397;height:2096" coordorigin="-699,10661" coordsize="1397,2096" path="m9331,3218l9331,3917,9255,3921,9181,3933,9110,3952,9042,3979,8978,4012,8918,4052,8863,4097,8812,4147,8767,4203,8728,4263,8695,4327,8668,4395,8649,4466,8636,4539,8632,4615,8636,4692,8649,4765,8668,4836,8695,4904,8728,4968,8767,5028,8812,5083,8863,5134,8918,5179,8978,5219,9042,5252,9110,5278,9181,5298,9255,5310,9331,5314,9407,5310,9481,5298,9552,5278,9619,5252,9684,5219,9744,5179,9799,5134,9849,5083,9895,5028,9934,4968,9967,4904,9994,4836,10013,4765,10025,4692,10029,4615,10025,4539,10013,4466,9994,4395,9967,4327,9934,4263,9895,4203,9849,4147,9799,4097,9744,4052,9684,4012,9619,3979,9552,3952,9481,3933,9407,3921,9331,3917,9331,3218xm9331,3218l9331,3917e" filled="false" stroked="true" strokeweight="1.56pt" strokecolor="#ffffff">
              <v:path arrowok="t"/>
              <v:stroke dashstyle="solid"/>
            </v:shape>
            <w10:wrap type="none"/>
          </v:group>
        </w:pict>
      </w:r>
      <w:r>
        <w:rPr>
          <w:color w:val="221F1F"/>
        </w:rPr>
        <w:t>Suburban Industrial/Mineral Extraction areas consist of large manufacturing, contractor with outdoor storage, and other productive uses. Streets in this district are typically designed to accommodate freight ingress and egress. This Place Type also includes mineral extraction areas such</w:t>
      </w:r>
      <w:r>
        <w:rPr>
          <w:color w:val="221F1F"/>
          <w:spacing w:val="-14"/>
        </w:rPr>
        <w:t> </w:t>
      </w:r>
      <w:r>
        <w:rPr>
          <w:color w:val="221F1F"/>
        </w:rPr>
        <w:t>as</w:t>
      </w:r>
      <w:r>
        <w:rPr>
          <w:color w:val="221F1F"/>
          <w:spacing w:val="-14"/>
        </w:rPr>
        <w:t> </w:t>
      </w:r>
      <w:r>
        <w:rPr>
          <w:color w:val="221F1F"/>
        </w:rPr>
        <w:t>quarries</w:t>
      </w:r>
      <w:r>
        <w:rPr>
          <w:color w:val="221F1F"/>
          <w:spacing w:val="-14"/>
        </w:rPr>
        <w:t> </w:t>
      </w:r>
      <w:r>
        <w:rPr>
          <w:color w:val="221F1F"/>
        </w:rPr>
        <w:t>and</w:t>
      </w:r>
      <w:r>
        <w:rPr>
          <w:color w:val="221F1F"/>
          <w:spacing w:val="-14"/>
        </w:rPr>
        <w:t> </w:t>
      </w:r>
      <w:r>
        <w:rPr>
          <w:color w:val="221F1F"/>
        </w:rPr>
        <w:t>mines.</w:t>
      </w:r>
      <w:r>
        <w:rPr>
          <w:color w:val="221F1F"/>
          <w:spacing w:val="-12"/>
        </w:rPr>
        <w:t> </w:t>
      </w:r>
      <w:r>
        <w:rPr>
          <w:color w:val="221F1F"/>
        </w:rPr>
        <w:t>Industrial</w:t>
      </w:r>
      <w:r>
        <w:rPr>
          <w:color w:val="221F1F"/>
          <w:spacing w:val="-12"/>
        </w:rPr>
        <w:t> </w:t>
      </w:r>
      <w:r>
        <w:rPr>
          <w:color w:val="221F1F"/>
        </w:rPr>
        <w:t>and</w:t>
      </w:r>
      <w:r>
        <w:rPr>
          <w:color w:val="221F1F"/>
          <w:spacing w:val="-14"/>
        </w:rPr>
        <w:t> </w:t>
      </w:r>
      <w:r>
        <w:rPr>
          <w:color w:val="221F1F"/>
        </w:rPr>
        <w:t>mineral</w:t>
      </w:r>
      <w:r>
        <w:rPr>
          <w:color w:val="221F1F"/>
          <w:spacing w:val="-14"/>
        </w:rPr>
        <w:t> </w:t>
      </w:r>
      <w:r>
        <w:rPr>
          <w:color w:val="221F1F"/>
        </w:rPr>
        <w:t>extraction</w:t>
      </w:r>
      <w:r>
        <w:rPr>
          <w:color w:val="221F1F"/>
          <w:spacing w:val="-13"/>
        </w:rPr>
        <w:t> </w:t>
      </w:r>
      <w:r>
        <w:rPr>
          <w:color w:val="221F1F"/>
        </w:rPr>
        <w:t>uses</w:t>
      </w:r>
      <w:r>
        <w:rPr>
          <w:color w:val="221F1F"/>
          <w:spacing w:val="-14"/>
        </w:rPr>
        <w:t> </w:t>
      </w:r>
      <w:r>
        <w:rPr>
          <w:color w:val="221F1F"/>
        </w:rPr>
        <w:t>are</w:t>
      </w:r>
      <w:r>
        <w:rPr>
          <w:color w:val="221F1F"/>
          <w:spacing w:val="-16"/>
        </w:rPr>
        <w:t> </w:t>
      </w:r>
      <w:r>
        <w:rPr>
          <w:color w:val="221F1F"/>
        </w:rPr>
        <w:t>incompatible</w:t>
      </w:r>
      <w:r>
        <w:rPr>
          <w:color w:val="221F1F"/>
          <w:spacing w:val="-15"/>
        </w:rPr>
        <w:t> </w:t>
      </w:r>
      <w:r>
        <w:rPr>
          <w:color w:val="221F1F"/>
        </w:rPr>
        <w:t>with</w:t>
      </w:r>
      <w:r>
        <w:rPr>
          <w:color w:val="221F1F"/>
          <w:spacing w:val="-14"/>
        </w:rPr>
        <w:t> </w:t>
      </w:r>
      <w:r>
        <w:rPr>
          <w:color w:val="221F1F"/>
        </w:rPr>
        <w:t>residential uses due to the prevalence of outdoor storage and the emissions of noise, odor, and vibrations. Buffers</w:t>
      </w:r>
      <w:r>
        <w:rPr>
          <w:color w:val="221F1F"/>
          <w:spacing w:val="-12"/>
        </w:rPr>
        <w:t> </w:t>
      </w:r>
      <w:r>
        <w:rPr>
          <w:color w:val="221F1F"/>
        </w:rPr>
        <w:t>between</w:t>
      </w:r>
      <w:r>
        <w:rPr>
          <w:color w:val="221F1F"/>
          <w:spacing w:val="-11"/>
        </w:rPr>
        <w:t> </w:t>
      </w:r>
      <w:r>
        <w:rPr>
          <w:color w:val="221F1F"/>
        </w:rPr>
        <w:t>these</w:t>
      </w:r>
      <w:r>
        <w:rPr>
          <w:color w:val="221F1F"/>
          <w:spacing w:val="-12"/>
        </w:rPr>
        <w:t> </w:t>
      </w:r>
      <w:r>
        <w:rPr>
          <w:color w:val="221F1F"/>
        </w:rPr>
        <w:t>uses</w:t>
      </w:r>
      <w:r>
        <w:rPr>
          <w:color w:val="221F1F"/>
          <w:spacing w:val="-11"/>
        </w:rPr>
        <w:t> </w:t>
      </w:r>
      <w:r>
        <w:rPr>
          <w:color w:val="221F1F"/>
        </w:rPr>
        <w:t>and</w:t>
      </w:r>
      <w:r>
        <w:rPr>
          <w:color w:val="221F1F"/>
          <w:spacing w:val="-7"/>
        </w:rPr>
        <w:t> </w:t>
      </w:r>
      <w:r>
        <w:rPr>
          <w:color w:val="221F1F"/>
        </w:rPr>
        <w:t>residential</w:t>
      </w:r>
      <w:r>
        <w:rPr>
          <w:color w:val="221F1F"/>
          <w:spacing w:val="-8"/>
        </w:rPr>
        <w:t> </w:t>
      </w:r>
      <w:r>
        <w:rPr>
          <w:color w:val="221F1F"/>
        </w:rPr>
        <w:t>uses</w:t>
      </w:r>
      <w:r>
        <w:rPr>
          <w:color w:val="221F1F"/>
          <w:spacing w:val="-8"/>
        </w:rPr>
        <w:t> </w:t>
      </w:r>
      <w:r>
        <w:rPr>
          <w:color w:val="221F1F"/>
        </w:rPr>
        <w:t>are</w:t>
      </w:r>
      <w:r>
        <w:rPr>
          <w:color w:val="221F1F"/>
          <w:spacing w:val="-12"/>
        </w:rPr>
        <w:t> </w:t>
      </w:r>
      <w:r>
        <w:rPr>
          <w:color w:val="221F1F"/>
        </w:rPr>
        <w:t>necessary</w:t>
      </w:r>
      <w:r>
        <w:rPr>
          <w:color w:val="221F1F"/>
          <w:spacing w:val="-15"/>
        </w:rPr>
        <w:t> </w:t>
      </w:r>
      <w:r>
        <w:rPr>
          <w:color w:val="221F1F"/>
        </w:rPr>
        <w:t>to</w:t>
      </w:r>
      <w:r>
        <w:rPr>
          <w:color w:val="221F1F"/>
          <w:spacing w:val="-8"/>
        </w:rPr>
        <w:t> </w:t>
      </w:r>
      <w:r>
        <w:rPr>
          <w:color w:val="221F1F"/>
        </w:rPr>
        <w:t>ensure</w:t>
      </w:r>
      <w:r>
        <w:rPr>
          <w:color w:val="221F1F"/>
          <w:spacing w:val="-10"/>
        </w:rPr>
        <w:t> </w:t>
      </w:r>
      <w:r>
        <w:rPr>
          <w:color w:val="221F1F"/>
        </w:rPr>
        <w:t>compatibility</w:t>
      </w:r>
      <w:r>
        <w:rPr>
          <w:color w:val="221F1F"/>
          <w:spacing w:val="-16"/>
        </w:rPr>
        <w:t> </w:t>
      </w:r>
      <w:r>
        <w:rPr>
          <w:color w:val="221F1F"/>
        </w:rPr>
        <w:t>and</w:t>
      </w:r>
      <w:r>
        <w:rPr>
          <w:color w:val="221F1F"/>
          <w:spacing w:val="-9"/>
        </w:rPr>
        <w:t> </w:t>
      </w:r>
      <w:r>
        <w:rPr>
          <w:color w:val="221F1F"/>
        </w:rPr>
        <w:t>maintain commercial</w:t>
      </w:r>
      <w:r>
        <w:rPr>
          <w:color w:val="221F1F"/>
          <w:spacing w:val="-1"/>
        </w:rPr>
        <w:t> </w:t>
      </w:r>
      <w:r>
        <w:rPr>
          <w:color w:val="221F1F"/>
        </w:rPr>
        <w:t>viability</w:t>
      </w:r>
      <w:r>
        <w:rPr>
          <w:rFonts w:ascii="Calibri"/>
          <w:color w:val="221F1F"/>
        </w:rPr>
        <w:t>.</w:t>
      </w:r>
    </w:p>
    <w:p>
      <w:pPr>
        <w:pStyle w:val="BodyText"/>
        <w:spacing w:before="9" w:after="1"/>
        <w:rPr>
          <w:rFonts w:ascii="Calibri"/>
          <w:sz w:val="29"/>
        </w:rPr>
      </w:pPr>
    </w:p>
    <w:tbl>
      <w:tblPr>
        <w:tblW w:w="0" w:type="auto"/>
        <w:jc w:val="left"/>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2700"/>
        <w:gridCol w:w="3965"/>
      </w:tblGrid>
      <w:tr>
        <w:trPr>
          <w:trHeight w:val="438" w:hRule="atLeast"/>
        </w:trPr>
        <w:tc>
          <w:tcPr>
            <w:tcW w:w="3596" w:type="dxa"/>
          </w:tcPr>
          <w:p>
            <w:pPr>
              <w:pStyle w:val="TableParagraph"/>
              <w:spacing w:before="78"/>
              <w:ind w:left="859"/>
              <w:rPr>
                <w:b/>
                <w:sz w:val="24"/>
              </w:rPr>
            </w:pPr>
            <w:r>
              <w:rPr>
                <w:b/>
                <w:color w:val="221F1F"/>
                <w:sz w:val="24"/>
              </w:rPr>
              <w:t>Predominant Uses</w:t>
            </w:r>
          </w:p>
        </w:tc>
        <w:tc>
          <w:tcPr>
            <w:tcW w:w="2700" w:type="dxa"/>
          </w:tcPr>
          <w:p>
            <w:pPr>
              <w:pStyle w:val="TableParagraph"/>
              <w:spacing w:before="63"/>
              <w:ind w:left="547"/>
              <w:rPr>
                <w:b/>
                <w:sz w:val="24"/>
              </w:rPr>
            </w:pPr>
            <w:r>
              <w:rPr>
                <w:b/>
                <w:sz w:val="24"/>
              </w:rPr>
              <w:t>S</w:t>
            </w:r>
            <w:r>
              <w:rPr>
                <w:b/>
                <w:color w:val="221F1F"/>
                <w:sz w:val="24"/>
              </w:rPr>
              <w:t>econdary Uses</w:t>
            </w:r>
          </w:p>
        </w:tc>
        <w:tc>
          <w:tcPr>
            <w:tcW w:w="3965" w:type="dxa"/>
          </w:tcPr>
          <w:p>
            <w:pPr>
              <w:pStyle w:val="TableParagraph"/>
              <w:spacing w:before="63"/>
              <w:ind w:left="1039"/>
              <w:rPr>
                <w:b/>
                <w:sz w:val="24"/>
              </w:rPr>
            </w:pPr>
            <w:r>
              <w:rPr>
                <w:b/>
                <w:sz w:val="24"/>
              </w:rPr>
              <w:t>Ideal Mix of Uses</w:t>
            </w:r>
          </w:p>
        </w:tc>
      </w:tr>
      <w:tr>
        <w:trPr>
          <w:trHeight w:val="4683" w:hRule="atLeast"/>
        </w:trPr>
        <w:tc>
          <w:tcPr>
            <w:tcW w:w="3596" w:type="dxa"/>
          </w:tcPr>
          <w:p>
            <w:pPr>
              <w:pStyle w:val="TableParagraph"/>
              <w:spacing w:before="3"/>
              <w:rPr>
                <w:rFonts w:ascii="Calibri"/>
                <w:sz w:val="19"/>
              </w:rPr>
            </w:pPr>
          </w:p>
          <w:p>
            <w:pPr>
              <w:pStyle w:val="TableParagraph"/>
              <w:numPr>
                <w:ilvl w:val="0"/>
                <w:numId w:val="9"/>
              </w:numPr>
              <w:tabs>
                <w:tab w:pos="690" w:val="left" w:leader="none"/>
              </w:tabs>
              <w:spacing w:line="237" w:lineRule="auto" w:before="0" w:after="0"/>
              <w:ind w:left="689" w:right="279" w:hanging="180"/>
              <w:jc w:val="left"/>
              <w:rPr>
                <w:sz w:val="22"/>
              </w:rPr>
            </w:pPr>
            <w:r>
              <w:rPr>
                <w:sz w:val="22"/>
              </w:rPr>
              <w:t>General and Heavy Manufacturing and</w:t>
            </w:r>
            <w:r>
              <w:rPr>
                <w:spacing w:val="-7"/>
                <w:sz w:val="22"/>
              </w:rPr>
              <w:t> </w:t>
            </w:r>
            <w:r>
              <w:rPr>
                <w:sz w:val="22"/>
              </w:rPr>
              <w:t>Assembly</w:t>
            </w:r>
          </w:p>
          <w:p>
            <w:pPr>
              <w:pStyle w:val="TableParagraph"/>
              <w:numPr>
                <w:ilvl w:val="0"/>
                <w:numId w:val="9"/>
              </w:numPr>
              <w:tabs>
                <w:tab w:pos="690" w:val="left" w:leader="none"/>
              </w:tabs>
              <w:spacing w:line="255" w:lineRule="exact" w:before="1" w:after="0"/>
              <w:ind w:left="689" w:right="0" w:hanging="180"/>
              <w:jc w:val="left"/>
              <w:rPr>
                <w:sz w:val="22"/>
              </w:rPr>
            </w:pPr>
            <w:r>
              <w:rPr>
                <w:sz w:val="22"/>
              </w:rPr>
              <w:t>Warehousing</w:t>
            </w:r>
          </w:p>
          <w:p>
            <w:pPr>
              <w:pStyle w:val="TableParagraph"/>
              <w:numPr>
                <w:ilvl w:val="0"/>
                <w:numId w:val="9"/>
              </w:numPr>
              <w:tabs>
                <w:tab w:pos="690" w:val="left" w:leader="none"/>
              </w:tabs>
              <w:spacing w:line="235" w:lineRule="auto" w:before="3" w:after="0"/>
              <w:ind w:left="689" w:right="720" w:hanging="180"/>
              <w:jc w:val="left"/>
              <w:rPr>
                <w:sz w:val="22"/>
              </w:rPr>
            </w:pPr>
            <w:r>
              <w:rPr>
                <w:sz w:val="22"/>
              </w:rPr>
              <w:t>Contractor with</w:t>
            </w:r>
            <w:r>
              <w:rPr>
                <w:spacing w:val="-9"/>
                <w:sz w:val="22"/>
              </w:rPr>
              <w:t> </w:t>
            </w:r>
            <w:r>
              <w:rPr>
                <w:sz w:val="22"/>
              </w:rPr>
              <w:t>Outdoor Storage</w:t>
            </w:r>
          </w:p>
          <w:p>
            <w:pPr>
              <w:pStyle w:val="TableParagraph"/>
              <w:numPr>
                <w:ilvl w:val="0"/>
                <w:numId w:val="9"/>
              </w:numPr>
              <w:tabs>
                <w:tab w:pos="690" w:val="left" w:leader="none"/>
              </w:tabs>
              <w:spacing w:line="255" w:lineRule="exact" w:before="1" w:after="0"/>
              <w:ind w:left="689" w:right="0" w:hanging="180"/>
              <w:jc w:val="left"/>
              <w:rPr>
                <w:sz w:val="22"/>
              </w:rPr>
            </w:pPr>
            <w:r>
              <w:rPr>
                <w:sz w:val="22"/>
              </w:rPr>
              <w:t>Data</w:t>
            </w:r>
            <w:r>
              <w:rPr>
                <w:spacing w:val="-1"/>
                <w:sz w:val="22"/>
              </w:rPr>
              <w:t> </w:t>
            </w:r>
            <w:r>
              <w:rPr>
                <w:sz w:val="22"/>
              </w:rPr>
              <w:t>Centers</w:t>
            </w:r>
          </w:p>
          <w:p>
            <w:pPr>
              <w:pStyle w:val="TableParagraph"/>
              <w:numPr>
                <w:ilvl w:val="0"/>
                <w:numId w:val="9"/>
              </w:numPr>
              <w:tabs>
                <w:tab w:pos="690" w:val="left" w:leader="none"/>
              </w:tabs>
              <w:spacing w:line="235" w:lineRule="auto" w:before="3" w:after="0"/>
              <w:ind w:left="689" w:right="460" w:hanging="180"/>
              <w:jc w:val="left"/>
              <w:rPr>
                <w:sz w:val="22"/>
              </w:rPr>
            </w:pPr>
            <w:r>
              <w:rPr>
                <w:sz w:val="22"/>
              </w:rPr>
              <w:t>Fleet &amp; Equipment Sales &amp; Service</w:t>
            </w:r>
          </w:p>
          <w:p>
            <w:pPr>
              <w:pStyle w:val="TableParagraph"/>
              <w:numPr>
                <w:ilvl w:val="0"/>
                <w:numId w:val="9"/>
              </w:numPr>
              <w:tabs>
                <w:tab w:pos="690" w:val="left" w:leader="none"/>
              </w:tabs>
              <w:spacing w:line="254" w:lineRule="exact" w:before="3" w:after="0"/>
              <w:ind w:left="689" w:right="0" w:hanging="180"/>
              <w:jc w:val="left"/>
              <w:rPr>
                <w:sz w:val="22"/>
              </w:rPr>
            </w:pPr>
            <w:r>
              <w:rPr>
                <w:sz w:val="22"/>
              </w:rPr>
              <w:t>Research and</w:t>
            </w:r>
            <w:r>
              <w:rPr>
                <w:spacing w:val="-1"/>
                <w:sz w:val="22"/>
              </w:rPr>
              <w:t> </w:t>
            </w:r>
            <w:r>
              <w:rPr>
                <w:sz w:val="22"/>
              </w:rPr>
              <w:t>Development</w:t>
            </w:r>
          </w:p>
          <w:p>
            <w:pPr>
              <w:pStyle w:val="TableParagraph"/>
              <w:numPr>
                <w:ilvl w:val="0"/>
                <w:numId w:val="9"/>
              </w:numPr>
              <w:tabs>
                <w:tab w:pos="690" w:val="left" w:leader="none"/>
              </w:tabs>
              <w:spacing w:line="252" w:lineRule="exact" w:before="0" w:after="0"/>
              <w:ind w:left="689" w:right="0" w:hanging="180"/>
              <w:jc w:val="left"/>
              <w:rPr>
                <w:sz w:val="22"/>
              </w:rPr>
            </w:pPr>
            <w:r>
              <w:rPr>
                <w:sz w:val="22"/>
              </w:rPr>
              <w:t>Outdoor</w:t>
            </w:r>
            <w:r>
              <w:rPr>
                <w:spacing w:val="-3"/>
                <w:sz w:val="22"/>
              </w:rPr>
              <w:t> </w:t>
            </w:r>
            <w:r>
              <w:rPr>
                <w:sz w:val="22"/>
              </w:rPr>
              <w:t>Storage</w:t>
            </w:r>
          </w:p>
          <w:p>
            <w:pPr>
              <w:pStyle w:val="TableParagraph"/>
              <w:numPr>
                <w:ilvl w:val="0"/>
                <w:numId w:val="9"/>
              </w:numPr>
              <w:tabs>
                <w:tab w:pos="690" w:val="left" w:leader="none"/>
              </w:tabs>
              <w:spacing w:line="253" w:lineRule="exact" w:before="0" w:after="0"/>
              <w:ind w:left="689" w:right="0" w:hanging="180"/>
              <w:jc w:val="left"/>
              <w:rPr>
                <w:sz w:val="22"/>
              </w:rPr>
            </w:pPr>
            <w:r>
              <w:rPr>
                <w:sz w:val="22"/>
              </w:rPr>
              <w:t>Public</w:t>
            </w:r>
            <w:r>
              <w:rPr>
                <w:spacing w:val="-1"/>
                <w:sz w:val="22"/>
              </w:rPr>
              <w:t> </w:t>
            </w:r>
            <w:r>
              <w:rPr>
                <w:sz w:val="22"/>
              </w:rPr>
              <w:t>Utilities</w:t>
            </w:r>
          </w:p>
          <w:p>
            <w:pPr>
              <w:pStyle w:val="TableParagraph"/>
              <w:numPr>
                <w:ilvl w:val="0"/>
                <w:numId w:val="9"/>
              </w:numPr>
              <w:tabs>
                <w:tab w:pos="690" w:val="left" w:leader="none"/>
              </w:tabs>
              <w:spacing w:line="244" w:lineRule="exact" w:before="0" w:after="0"/>
              <w:ind w:left="689" w:right="0" w:hanging="180"/>
              <w:jc w:val="left"/>
              <w:rPr>
                <w:sz w:val="22"/>
              </w:rPr>
            </w:pPr>
            <w:r>
              <w:rPr>
                <w:sz w:val="22"/>
              </w:rPr>
              <w:t>Quarry</w:t>
            </w:r>
          </w:p>
          <w:p>
            <w:pPr>
              <w:pStyle w:val="TableParagraph"/>
              <w:numPr>
                <w:ilvl w:val="0"/>
                <w:numId w:val="9"/>
              </w:numPr>
              <w:tabs>
                <w:tab w:pos="690" w:val="left" w:leader="none"/>
              </w:tabs>
              <w:spacing w:line="245" w:lineRule="exact" w:before="0" w:after="0"/>
              <w:ind w:left="689" w:right="0" w:hanging="180"/>
              <w:jc w:val="left"/>
              <w:rPr>
                <w:sz w:val="22"/>
              </w:rPr>
            </w:pPr>
            <w:r>
              <w:rPr>
                <w:sz w:val="22"/>
              </w:rPr>
              <w:t>Outdoor</w:t>
            </w:r>
            <w:r>
              <w:rPr>
                <w:spacing w:val="-3"/>
                <w:sz w:val="22"/>
              </w:rPr>
              <w:t> </w:t>
            </w:r>
            <w:r>
              <w:rPr>
                <w:sz w:val="22"/>
              </w:rPr>
              <w:t>Manufacturing</w:t>
            </w:r>
          </w:p>
        </w:tc>
        <w:tc>
          <w:tcPr>
            <w:tcW w:w="2700" w:type="dxa"/>
          </w:tcPr>
          <w:p>
            <w:pPr>
              <w:pStyle w:val="TableParagraph"/>
              <w:spacing w:before="3"/>
              <w:rPr>
                <w:rFonts w:ascii="Calibri"/>
                <w:sz w:val="20"/>
              </w:rPr>
            </w:pPr>
          </w:p>
          <w:p>
            <w:pPr>
              <w:pStyle w:val="TableParagraph"/>
              <w:numPr>
                <w:ilvl w:val="0"/>
                <w:numId w:val="10"/>
              </w:numPr>
              <w:tabs>
                <w:tab w:pos="545" w:val="left" w:leader="none"/>
              </w:tabs>
              <w:spacing w:line="254" w:lineRule="exact" w:before="1" w:after="0"/>
              <w:ind w:left="544" w:right="0" w:hanging="180"/>
              <w:jc w:val="left"/>
              <w:rPr>
                <w:sz w:val="22"/>
              </w:rPr>
            </w:pPr>
            <w:r>
              <w:rPr>
                <w:sz w:val="22"/>
              </w:rPr>
              <w:t>Office</w:t>
            </w:r>
          </w:p>
          <w:p>
            <w:pPr>
              <w:pStyle w:val="TableParagraph"/>
              <w:numPr>
                <w:ilvl w:val="0"/>
                <w:numId w:val="10"/>
              </w:numPr>
              <w:tabs>
                <w:tab w:pos="545" w:val="left" w:leader="none"/>
              </w:tabs>
              <w:spacing w:line="237" w:lineRule="auto" w:before="0" w:after="0"/>
              <w:ind w:left="544" w:right="676" w:hanging="180"/>
              <w:jc w:val="left"/>
              <w:rPr>
                <w:sz w:val="22"/>
              </w:rPr>
            </w:pPr>
            <w:r>
              <w:rPr>
                <w:sz w:val="22"/>
              </w:rPr>
              <w:t>Retail &amp; Service Commercial</w:t>
            </w:r>
          </w:p>
          <w:p>
            <w:pPr>
              <w:pStyle w:val="TableParagraph"/>
              <w:numPr>
                <w:ilvl w:val="0"/>
                <w:numId w:val="10"/>
              </w:numPr>
              <w:tabs>
                <w:tab w:pos="545" w:val="left" w:leader="none"/>
              </w:tabs>
              <w:spacing w:line="254" w:lineRule="exact" w:before="0" w:after="0"/>
              <w:ind w:left="544" w:right="0" w:hanging="180"/>
              <w:jc w:val="left"/>
              <w:rPr>
                <w:sz w:val="22"/>
              </w:rPr>
            </w:pPr>
            <w:r>
              <w:rPr>
                <w:sz w:val="22"/>
              </w:rPr>
              <w:t>Flex Space</w:t>
            </w:r>
          </w:p>
          <w:p>
            <w:pPr>
              <w:pStyle w:val="TableParagraph"/>
              <w:numPr>
                <w:ilvl w:val="0"/>
                <w:numId w:val="10"/>
              </w:numPr>
              <w:tabs>
                <w:tab w:pos="545" w:val="left" w:leader="none"/>
              </w:tabs>
              <w:spacing w:line="253" w:lineRule="exact" w:before="0" w:after="0"/>
              <w:ind w:left="544" w:right="0" w:hanging="180"/>
              <w:jc w:val="left"/>
              <w:rPr>
                <w:sz w:val="22"/>
              </w:rPr>
            </w:pPr>
            <w:r>
              <w:rPr>
                <w:sz w:val="22"/>
              </w:rPr>
              <w:t>Light Production</w:t>
            </w:r>
          </w:p>
          <w:p>
            <w:pPr>
              <w:pStyle w:val="TableParagraph"/>
              <w:numPr>
                <w:ilvl w:val="0"/>
                <w:numId w:val="10"/>
              </w:numPr>
              <w:tabs>
                <w:tab w:pos="545" w:val="left" w:leader="none"/>
              </w:tabs>
              <w:spacing w:line="255" w:lineRule="exact" w:before="0" w:after="0"/>
              <w:ind w:left="544" w:right="0" w:hanging="180"/>
              <w:jc w:val="left"/>
              <w:rPr>
                <w:sz w:val="22"/>
              </w:rPr>
            </w:pPr>
            <w:r>
              <w:rPr>
                <w:sz w:val="22"/>
              </w:rPr>
              <w:t>Public</w:t>
            </w:r>
            <w:r>
              <w:rPr>
                <w:spacing w:val="-1"/>
                <w:sz w:val="22"/>
              </w:rPr>
              <w:t> </w:t>
            </w:r>
            <w:r>
              <w:rPr>
                <w:sz w:val="22"/>
              </w:rPr>
              <w:t>Facilities</w:t>
            </w:r>
          </w:p>
        </w:tc>
        <w:tc>
          <w:tcPr>
            <w:tcW w:w="3965" w:type="dxa"/>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5"/>
              <w:rPr>
                <w:rFonts w:ascii="Calibri"/>
                <w:sz w:val="25"/>
              </w:rPr>
            </w:pPr>
          </w:p>
          <w:p>
            <w:pPr>
              <w:pStyle w:val="TableParagraph"/>
              <w:ind w:left="1596" w:right="1509" w:firstLine="1"/>
              <w:jc w:val="center"/>
              <w:rPr>
                <w:rFonts w:ascii="Calibri"/>
                <w:sz w:val="18"/>
              </w:rPr>
            </w:pPr>
            <w:r>
              <w:rPr>
                <w:rFonts w:ascii="Calibri"/>
                <w:sz w:val="18"/>
              </w:rPr>
              <w:t>Non </w:t>
            </w:r>
            <w:r>
              <w:rPr>
                <w:rFonts w:ascii="Calibri"/>
                <w:spacing w:val="-1"/>
                <w:sz w:val="18"/>
              </w:rPr>
              <w:t>Residential, </w:t>
            </w:r>
            <w:r>
              <w:rPr>
                <w:rFonts w:ascii="Calibri"/>
                <w:sz w:val="18"/>
              </w:rPr>
              <w:t>100%</w:t>
            </w:r>
          </w:p>
          <w:p>
            <w:pPr>
              <w:pStyle w:val="TableParagraph"/>
              <w:rPr>
                <w:rFonts w:ascii="Calibri"/>
                <w:sz w:val="18"/>
              </w:rPr>
            </w:pPr>
          </w:p>
          <w:p>
            <w:pPr>
              <w:pStyle w:val="TableParagraph"/>
              <w:spacing w:line="216" w:lineRule="auto" w:before="113"/>
              <w:ind w:left="494" w:right="1943"/>
              <w:rPr>
                <w:sz w:val="22"/>
              </w:rPr>
            </w:pPr>
            <w:r>
              <w:rPr>
                <w:sz w:val="22"/>
              </w:rPr>
              <w:t>Possible Ranges: Res: 0%</w:t>
            </w:r>
          </w:p>
          <w:p>
            <w:pPr>
              <w:pStyle w:val="TableParagraph"/>
              <w:spacing w:line="230" w:lineRule="exact"/>
              <w:ind w:left="494"/>
              <w:rPr>
                <w:sz w:val="22"/>
              </w:rPr>
            </w:pPr>
            <w:r>
              <w:rPr>
                <w:sz w:val="22"/>
              </w:rPr>
              <w:t>Non-Res: Up to 100%</w:t>
            </w:r>
          </w:p>
          <w:p>
            <w:pPr>
              <w:pStyle w:val="TableParagraph"/>
              <w:spacing w:line="250" w:lineRule="exact"/>
              <w:ind w:left="502"/>
              <w:rPr>
                <w:sz w:val="22"/>
              </w:rPr>
            </w:pPr>
            <w:r>
              <w:rPr>
                <w:sz w:val="22"/>
              </w:rPr>
              <w:t>Public/Civic: 0%+</w:t>
            </w:r>
          </w:p>
        </w:tc>
      </w:tr>
    </w:tbl>
    <w:p>
      <w:pPr>
        <w:spacing w:after="0" w:line="250" w:lineRule="exact"/>
        <w:rPr>
          <w:sz w:val="22"/>
        </w:rPr>
        <w:sectPr>
          <w:pgSz w:w="12240" w:h="15840"/>
          <w:pgMar w:header="719" w:footer="443" w:top="920" w:bottom="740" w:left="0" w:right="0"/>
        </w:sectPr>
      </w:pPr>
    </w:p>
    <w:p>
      <w:pPr>
        <w:pStyle w:val="BodyText"/>
        <w:rPr>
          <w:rFonts w:ascii="Calibri"/>
          <w:sz w:val="20"/>
        </w:rPr>
      </w:pPr>
    </w:p>
    <w:p>
      <w:pPr>
        <w:pStyle w:val="Heading3"/>
        <w:spacing w:before="254"/>
        <w:rPr>
          <w:rFonts w:ascii="Times New Roman"/>
        </w:rPr>
      </w:pPr>
      <w:r>
        <w:rPr>
          <w:rFonts w:ascii="Times New Roman"/>
        </w:rPr>
        <w:t>DESIGN CHARACTERISTICS</w:t>
      </w:r>
    </w:p>
    <w:p>
      <w:pPr>
        <w:pStyle w:val="BodyText"/>
        <w:spacing w:before="10"/>
        <w:rPr>
          <w:b/>
          <w:sz w:val="23"/>
        </w:rPr>
      </w:pPr>
    </w:p>
    <w:p>
      <w:pPr>
        <w:pStyle w:val="Heading5"/>
        <w:spacing w:line="274" w:lineRule="exact"/>
      </w:pPr>
      <w:r>
        <w:rPr/>
        <w:t>Context</w:t>
      </w:r>
    </w:p>
    <w:p>
      <w:pPr>
        <w:pStyle w:val="BodyText"/>
        <w:ind w:left="1440" w:right="1615"/>
      </w:pPr>
      <w:r>
        <w:rPr>
          <w:color w:val="221F1F"/>
        </w:rPr>
        <w:t>Primarily one-to-two-story buildings used for warehousing, data centers, contractor services, or manufacturing.</w:t>
      </w:r>
    </w:p>
    <w:p>
      <w:pPr>
        <w:pStyle w:val="BodyText"/>
        <w:spacing w:before="8"/>
        <w:rPr>
          <w:sz w:val="21"/>
        </w:rPr>
      </w:pPr>
      <w:r>
        <w:rPr/>
        <w:pict>
          <v:shape style="position:absolute;margin-left:72pt;margin-top:14.851457pt;width:217.2pt;height:168.6pt;mso-position-horizontal-relative:page;mso-position-vertical-relative:paragraph;z-index:4456;mso-wrap-distance-left:0;mso-wrap-distance-right:0" type="#_x0000_t202" filled="false" stroked="true" strokeweight=".75pt" strokecolor="#000000">
            <v:textbox inset="0,0,0,0">
              <w:txbxContent>
                <w:p>
                  <w:pPr>
                    <w:spacing w:line="259" w:lineRule="auto" w:before="70"/>
                    <w:ind w:left="144" w:right="2501" w:firstLine="0"/>
                    <w:jc w:val="left"/>
                    <w:rPr>
                      <w:b/>
                      <w:sz w:val="22"/>
                    </w:rPr>
                  </w:pPr>
                  <w:r>
                    <w:rPr>
                      <w:b/>
                      <w:sz w:val="22"/>
                    </w:rPr>
                    <w:t>Street Pattern: </w:t>
                  </w:r>
                  <w:r>
                    <w:rPr>
                      <w:sz w:val="22"/>
                    </w:rPr>
                    <w:t>Irregular layouts </w:t>
                  </w:r>
                  <w:r>
                    <w:rPr>
                      <w:b/>
                      <w:sz w:val="22"/>
                    </w:rPr>
                    <w:t>Block Length: </w:t>
                  </w:r>
                  <w:r>
                    <w:rPr>
                      <w:sz w:val="22"/>
                    </w:rPr>
                    <w:t>300-1,000 feet </w:t>
                  </w:r>
                  <w:r>
                    <w:rPr>
                      <w:b/>
                      <w:sz w:val="22"/>
                    </w:rPr>
                    <w:t>Building Setback:</w:t>
                  </w:r>
                </w:p>
                <w:p>
                  <w:pPr>
                    <w:spacing w:line="248" w:lineRule="exact" w:before="0"/>
                    <w:ind w:left="144" w:right="0" w:firstLine="0"/>
                    <w:jc w:val="left"/>
                    <w:rPr>
                      <w:sz w:val="22"/>
                    </w:rPr>
                  </w:pPr>
                  <w:r>
                    <w:rPr>
                      <w:sz w:val="22"/>
                    </w:rPr>
                    <w:t>Deep, varying with use</w:t>
                  </w:r>
                </w:p>
                <w:p>
                  <w:pPr>
                    <w:spacing w:before="25"/>
                    <w:ind w:left="144" w:right="0" w:firstLine="0"/>
                    <w:jc w:val="left"/>
                    <w:rPr>
                      <w:b/>
                      <w:sz w:val="22"/>
                    </w:rPr>
                  </w:pPr>
                  <w:r>
                    <w:rPr>
                      <w:b/>
                      <w:sz w:val="22"/>
                    </w:rPr>
                    <w:t>Parking:</w:t>
                  </w:r>
                </w:p>
                <w:p>
                  <w:pPr>
                    <w:spacing w:before="16"/>
                    <w:ind w:left="144" w:right="0" w:firstLine="0"/>
                    <w:jc w:val="left"/>
                    <w:rPr>
                      <w:sz w:val="22"/>
                    </w:rPr>
                  </w:pPr>
                  <w:r>
                    <w:rPr>
                      <w:sz w:val="22"/>
                    </w:rPr>
                    <w:t>Surface lot</w:t>
                  </w:r>
                </w:p>
                <w:p>
                  <w:pPr>
                    <w:spacing w:before="23"/>
                    <w:ind w:left="144" w:right="0" w:firstLine="0"/>
                    <w:jc w:val="left"/>
                    <w:rPr>
                      <w:b/>
                      <w:sz w:val="22"/>
                    </w:rPr>
                  </w:pPr>
                  <w:r>
                    <w:rPr>
                      <w:b/>
                      <w:sz w:val="22"/>
                    </w:rPr>
                    <w:t>Design Amenities:</w:t>
                  </w:r>
                </w:p>
                <w:p>
                  <w:pPr>
                    <w:spacing w:before="16"/>
                    <w:ind w:left="144" w:right="0" w:firstLine="0"/>
                    <w:jc w:val="left"/>
                    <w:rPr>
                      <w:sz w:val="22"/>
                    </w:rPr>
                  </w:pPr>
                  <w:r>
                    <w:rPr>
                      <w:sz w:val="22"/>
                    </w:rPr>
                    <w:t>Sidewalks, street trees, shade trees</w:t>
                  </w:r>
                </w:p>
                <w:p>
                  <w:pPr>
                    <w:spacing w:before="26"/>
                    <w:ind w:left="144" w:right="0" w:firstLine="0"/>
                    <w:jc w:val="left"/>
                    <w:rPr>
                      <w:b/>
                      <w:sz w:val="22"/>
                    </w:rPr>
                  </w:pPr>
                  <w:r>
                    <w:rPr>
                      <w:b/>
                      <w:sz w:val="22"/>
                    </w:rPr>
                    <w:t>Open Space:</w:t>
                  </w:r>
                </w:p>
                <w:p>
                  <w:pPr>
                    <w:spacing w:before="16"/>
                    <w:ind w:left="144" w:right="0" w:firstLine="0"/>
                    <w:jc w:val="left"/>
                    <w:rPr>
                      <w:sz w:val="22"/>
                    </w:rPr>
                  </w:pPr>
                  <w:r>
                    <w:rPr>
                      <w:sz w:val="22"/>
                    </w:rPr>
                    <w:t>30% of the site</w:t>
                  </w:r>
                </w:p>
              </w:txbxContent>
            </v:textbox>
            <v:stroke dashstyle="solid"/>
            <w10:wrap type="topAndBottom"/>
          </v:shape>
        </w:pict>
      </w:r>
    </w:p>
    <w:p>
      <w:pPr>
        <w:pStyle w:val="BodyText"/>
        <w:rPr>
          <w:sz w:val="28"/>
        </w:rPr>
      </w:pPr>
    </w:p>
    <w:p>
      <w:pPr>
        <w:pStyle w:val="Heading5"/>
        <w:spacing w:line="274" w:lineRule="exact"/>
      </w:pPr>
      <w:r>
        <w:rPr/>
        <w:t>Place Type Rendering</w:t>
      </w:r>
    </w:p>
    <w:p>
      <w:pPr>
        <w:spacing w:line="240" w:lineRule="auto" w:before="0"/>
        <w:ind w:left="1440" w:right="2308"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5"/>
        <w:tabs>
          <w:tab w:pos="5040" w:val="left" w:leader="none"/>
        </w:tabs>
        <w:spacing w:before="1"/>
      </w:pPr>
      <w:r>
        <w:rPr/>
        <w:t>Total FAR: Up</w:t>
      </w:r>
      <w:r>
        <w:rPr>
          <w:spacing w:val="-3"/>
        </w:rPr>
        <w:t> </w:t>
      </w:r>
      <w:r>
        <w:rPr/>
        <w:t>to</w:t>
      </w:r>
      <w:r>
        <w:rPr>
          <w:spacing w:val="-1"/>
        </w:rPr>
        <w:t> </w:t>
      </w:r>
      <w:r>
        <w:rPr/>
        <w:t>0.6</w:t>
        <w:tab/>
        <w:t>Building Height: Up to 4</w:t>
      </w:r>
      <w:r>
        <w:rPr>
          <w:spacing w:val="-4"/>
        </w:rPr>
        <w:t> </w:t>
      </w:r>
      <w:r>
        <w:rPr/>
        <w:t>stories</w:t>
      </w:r>
    </w:p>
    <w:p>
      <w:pPr>
        <w:pStyle w:val="BodyText"/>
        <w:spacing w:before="4"/>
        <w:rPr>
          <w:b/>
          <w:sz w:val="16"/>
        </w:rPr>
      </w:pPr>
      <w:r>
        <w:rPr/>
        <w:drawing>
          <wp:anchor distT="0" distB="0" distL="0" distR="0" allowOverlap="1" layoutInCell="1" locked="0" behindDoc="0" simplePos="0" relativeHeight="4480">
            <wp:simplePos x="0" y="0"/>
            <wp:positionH relativeFrom="page">
              <wp:posOffset>914400</wp:posOffset>
            </wp:positionH>
            <wp:positionV relativeFrom="paragraph">
              <wp:posOffset>144483</wp:posOffset>
            </wp:positionV>
            <wp:extent cx="3544359" cy="1963864"/>
            <wp:effectExtent l="0" t="0" r="0" b="0"/>
            <wp:wrapTopAndBottom/>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47" cstate="print"/>
                    <a:stretch>
                      <a:fillRect/>
                    </a:stretch>
                  </pic:blipFill>
                  <pic:spPr>
                    <a:xfrm>
                      <a:off x="0" y="0"/>
                      <a:ext cx="3544359" cy="1963864"/>
                    </a:xfrm>
                    <a:prstGeom prst="rect">
                      <a:avLst/>
                    </a:prstGeom>
                  </pic:spPr>
                </pic:pic>
              </a:graphicData>
            </a:graphic>
          </wp:anchor>
        </w:drawing>
      </w:r>
    </w:p>
    <w:p>
      <w:pPr>
        <w:pStyle w:val="BodyText"/>
        <w:spacing w:before="3"/>
        <w:rPr>
          <w:b/>
          <w:sz w:val="31"/>
        </w:rPr>
      </w:pPr>
    </w:p>
    <w:p>
      <w:pPr>
        <w:spacing w:before="0"/>
        <w:ind w:left="1440" w:right="0" w:firstLine="0"/>
        <w:jc w:val="left"/>
        <w:rPr>
          <w:b/>
          <w:sz w:val="24"/>
        </w:rPr>
      </w:pPr>
      <w:r>
        <w:rPr>
          <w:b/>
          <w:sz w:val="24"/>
        </w:rPr>
        <w:t>Transition</w:t>
      </w:r>
    </w:p>
    <w:p>
      <w:pPr>
        <w:pStyle w:val="BodyText"/>
        <w:spacing w:line="259" w:lineRule="auto" w:before="17"/>
        <w:ind w:left="1440" w:right="1345"/>
        <w:jc w:val="both"/>
      </w:pPr>
      <w:r>
        <w:rPr/>
        <w:t>Transitions between Suburban Industrial/Mineral Extractive uses and other developments, in particular adjacent residential neighborhoods, are critically important to the viability of long-term industrial operations. Setbacks, buffering, and natural open space can reduce impacts by blending the</w:t>
      </w:r>
      <w:r>
        <w:rPr>
          <w:spacing w:val="-16"/>
        </w:rPr>
        <w:t> </w:t>
      </w:r>
      <w:r>
        <w:rPr/>
        <w:t>edges</w:t>
      </w:r>
      <w:r>
        <w:rPr>
          <w:spacing w:val="-14"/>
        </w:rPr>
        <w:t> </w:t>
      </w:r>
      <w:r>
        <w:rPr/>
        <w:t>of</w:t>
      </w:r>
      <w:r>
        <w:rPr>
          <w:spacing w:val="-12"/>
        </w:rPr>
        <w:t> </w:t>
      </w:r>
      <w:r>
        <w:rPr/>
        <w:t>Industrial/Mineral</w:t>
      </w:r>
      <w:r>
        <w:rPr>
          <w:spacing w:val="-15"/>
        </w:rPr>
        <w:t> </w:t>
      </w:r>
      <w:r>
        <w:rPr/>
        <w:t>Extraction</w:t>
      </w:r>
      <w:r>
        <w:rPr>
          <w:spacing w:val="-16"/>
        </w:rPr>
        <w:t> </w:t>
      </w:r>
      <w:r>
        <w:rPr/>
        <w:t>developments</w:t>
      </w:r>
      <w:r>
        <w:rPr>
          <w:spacing w:val="-14"/>
        </w:rPr>
        <w:t> </w:t>
      </w:r>
      <w:r>
        <w:rPr/>
        <w:t>with</w:t>
      </w:r>
      <w:r>
        <w:rPr>
          <w:spacing w:val="-15"/>
        </w:rPr>
        <w:t> </w:t>
      </w:r>
      <w:r>
        <w:rPr/>
        <w:t>surrounding</w:t>
      </w:r>
      <w:r>
        <w:rPr>
          <w:spacing w:val="-18"/>
        </w:rPr>
        <w:t> </w:t>
      </w:r>
      <w:r>
        <w:rPr/>
        <w:t>developments,</w:t>
      </w:r>
      <w:r>
        <w:rPr>
          <w:spacing w:val="-15"/>
        </w:rPr>
        <w:t> </w:t>
      </w:r>
      <w:r>
        <w:rPr/>
        <w:t>providing softer transitions than structural buffers. Storage and loading areas are to be oriented away from and screened from streets and adjacent</w:t>
      </w:r>
      <w:r>
        <w:rPr>
          <w:spacing w:val="0"/>
        </w:rPr>
        <w:t> </w:t>
      </w:r>
      <w:r>
        <w:rPr/>
        <w:t>uses.</w:t>
      </w:r>
    </w:p>
    <w:p>
      <w:pPr>
        <w:spacing w:after="0" w:line="259" w:lineRule="auto"/>
        <w:jc w:val="both"/>
        <w:sectPr>
          <w:pgSz w:w="12240" w:h="15840"/>
          <w:pgMar w:header="719" w:footer="443" w:top="920" w:bottom="740" w:left="0" w:right="0"/>
        </w:sectPr>
      </w:pPr>
    </w:p>
    <w:p>
      <w:pPr>
        <w:pStyle w:val="BodyText"/>
        <w:rPr>
          <w:sz w:val="20"/>
        </w:rPr>
      </w:pPr>
    </w:p>
    <w:p>
      <w:pPr>
        <w:spacing w:before="273"/>
        <w:ind w:left="1440" w:right="0" w:firstLine="0"/>
        <w:jc w:val="left"/>
        <w:rPr>
          <w:rFonts w:ascii="Verdana"/>
          <w:b/>
          <w:sz w:val="32"/>
        </w:rPr>
      </w:pPr>
      <w:r>
        <w:rPr>
          <w:rFonts w:ascii="Verdana"/>
          <w:b/>
          <w:w w:val="95"/>
          <w:sz w:val="32"/>
        </w:rPr>
        <w:t>Policies, Strategies, and</w:t>
      </w:r>
      <w:r>
        <w:rPr>
          <w:rFonts w:ascii="Verdana"/>
          <w:b/>
          <w:spacing w:val="-70"/>
          <w:w w:val="95"/>
          <w:sz w:val="32"/>
        </w:rPr>
        <w:t> </w:t>
      </w:r>
      <w:r>
        <w:rPr>
          <w:rFonts w:ascii="Verdana"/>
          <w:b/>
          <w:w w:val="95"/>
          <w:sz w:val="32"/>
        </w:rPr>
        <w:t>Actions</w:t>
      </w:r>
    </w:p>
    <w:p>
      <w:pPr>
        <w:pStyle w:val="BodyText"/>
        <w:spacing w:line="259" w:lineRule="auto" w:before="25"/>
        <w:ind w:left="1440" w:right="1495"/>
      </w:pPr>
      <w:r>
        <w:rPr/>
        <w:t>Unless otherwise specified, the following Policies, Strategies, and Actions apply only within the SPA.</w:t>
      </w:r>
    </w:p>
    <w:p>
      <w:pPr>
        <w:pStyle w:val="Heading4"/>
      </w:pPr>
      <w:r>
        <w:rPr>
          <w:color w:val="396230"/>
        </w:rPr>
        <w:t>SPA Policy 1: Foster community identity within the Suburban Policy Area.</w:t>
      </w:r>
    </w:p>
    <w:p>
      <w:pPr>
        <w:pStyle w:val="BodyText"/>
        <w:spacing w:before="2"/>
        <w:rPr>
          <w:rFonts w:ascii="Tahoma"/>
          <w:sz w:val="25"/>
        </w:rPr>
      </w:pPr>
    </w:p>
    <w:p>
      <w:pPr>
        <w:spacing w:before="1"/>
        <w:ind w:left="1440" w:right="0" w:firstLine="0"/>
        <w:jc w:val="left"/>
        <w:rPr>
          <w:rFonts w:ascii="Verdana"/>
          <w:sz w:val="22"/>
        </w:rPr>
      </w:pPr>
      <w:r>
        <w:rPr>
          <w:rFonts w:ascii="Verdana"/>
          <w:sz w:val="22"/>
          <w:u w:val="single"/>
        </w:rPr>
        <w:t>Strategy</w:t>
      </w:r>
    </w:p>
    <w:p>
      <w:pPr>
        <w:pStyle w:val="ListParagraph"/>
        <w:numPr>
          <w:ilvl w:val="1"/>
          <w:numId w:val="11"/>
        </w:numPr>
        <w:tabs>
          <w:tab w:pos="2341" w:val="left" w:leader="none"/>
        </w:tabs>
        <w:spacing w:line="259" w:lineRule="auto" w:before="17" w:after="0"/>
        <w:ind w:left="2340" w:right="1446" w:hanging="540"/>
        <w:jc w:val="left"/>
        <w:rPr>
          <w:sz w:val="24"/>
        </w:rPr>
      </w:pPr>
      <w:r>
        <w:rPr/>
        <w:pict>
          <v:shape style="position:absolute;margin-left:90.066002pt;margin-top:12.543077pt;width:395.3pt;height:419pt;mso-position-horizontal-relative:page;mso-position-vertical-relative:paragraph;z-index:-29848" coordorigin="1801,251" coordsize="7906,8380" path="m4498,7515l4492,7441,4477,7363,4455,7280,4432,7211,4402,7139,4367,7064,4325,6986,4276,6905,4236,6846,4200,6796,4200,7481,4197,7538,4185,7594,4167,7652,4138,7712,4097,7774,4044,7840,3979,7910,3674,8215,2216,6757,2517,6457,2598,6381,2672,6321,2740,6277,2801,6251,2868,6236,2941,6232,3020,6239,3105,6257,3195,6286,3255,6312,3317,6344,3380,6382,3446,6427,3514,6479,3584,6537,3656,6602,3729,6673,3789,6735,3844,6795,3896,6854,3943,6912,3986,6968,4024,7024,4059,7077,4101,7152,4136,7224,4163,7294,4183,7361,4196,7425,4200,7481,4200,6796,4194,6787,4148,6727,4098,6666,4045,6605,3989,6544,3929,6482,3865,6420,3801,6361,3737,6306,3673,6255,3643,6232,3609,6207,3546,6162,3482,6121,3419,6083,3346,6046,3274,6013,3203,5986,3132,5964,3062,5947,2992,5935,2923,5928,2850,5926,2779,5933,2709,5948,2642,5971,2577,6001,2528,6029,2476,6066,2420,6112,2359,6166,2294,6229,1801,6722,3710,8630,4124,8215,4226,8113,4287,8048,4341,7983,4386,7917,4424,7850,4454,7784,4476,7718,4491,7651,4498,7583,4498,7515m6418,5921l6056,5794,5650,5651,5561,5622,5475,5598,5393,5579,5364,5573,5314,5564,5239,5554,5193,5553,5143,5556,5089,5563,5030,5573,5074,5504,5109,5434,5136,5365,5154,5296,5164,5228,5165,5160,5157,5092,5139,5014,5111,4938,5075,4863,5030,4790,4976,4720,4956,4697,4913,4651,4872,4613,4872,5170,4868,5226,4854,5281,4830,5337,4794,5396,4747,5457,4687,5520,4413,5794,4280,5927,3649,5296,4102,4843,4166,4786,4229,4743,4293,4713,4358,4698,4422,4697,4501,4712,4577,4742,4649,4787,4718,4846,4761,4894,4797,4945,4827,4998,4851,5055,4867,5113,4872,5170,4872,4613,4849,4591,4782,4539,4713,4494,4641,4455,4566,4423,4474,4395,4386,4382,4303,4384,4225,4400,4163,4425,4098,4461,4030,4509,3958,4569,3883,4640,3248,5275,5157,7183,5346,6993,4499,6146,4718,5927,4753,5893,4783,5865,4810,5844,4833,5830,4863,5816,4896,5806,4932,5798,4971,5794,5014,5794,5066,5799,5125,5809,5194,5826,5256,5843,5328,5864,5407,5889,5496,5918,6180,6159,6418,5921m7780,4559l7415,4364,6555,3910,6555,4217,6070,4702,5989,4559,5748,4128,5708,4057,5668,3985,5629,3920,5590,3855,5550,3791,5509,3728,5467,3666,5424,3604,5380,3544,5436,3579,5498,3617,5564,3657,5635,3699,5792,3790,6555,4217,6555,3910,5862,3544,5286,3237,5082,3441,5277,3791,5316,3862,5701,4559,6168,5408,6441,5899,6642,5698,6565,5564,6298,5096,6221,4962,6481,4702,6820,4364,7565,4775,7780,4559m8131,4209l7264,3342,7489,3116,7936,2670,7711,2445,7039,3116,6448,2526,7224,1749,6999,1524,6033,2490,7941,4398,8131,4209m9707,2633l8213,1139,8024,950,8497,476,8272,251,7138,1385,7363,1611,7834,1139,9517,2822,9707,2633e" filled="true" fillcolor="#c0c0c0" stroked="false">
            <v:path arrowok="t"/>
            <v:fill opacity="32896f" type="solid"/>
            <w10:wrap type="none"/>
          </v:shape>
        </w:pict>
      </w:r>
      <w:r>
        <w:rPr>
          <w:sz w:val="24"/>
        </w:rPr>
        <w:t>Build upon and enhance the sense of place in the Suburban Policy Area and its communities.</w:t>
      </w:r>
    </w:p>
    <w:p>
      <w:pPr>
        <w:spacing w:before="86"/>
        <w:ind w:left="1800" w:right="0" w:firstLine="0"/>
        <w:jc w:val="left"/>
        <w:rPr>
          <w:rFonts w:ascii="Verdana"/>
          <w:sz w:val="22"/>
        </w:rPr>
      </w:pPr>
      <w:r>
        <w:rPr>
          <w:rFonts w:ascii="Verdana"/>
          <w:sz w:val="22"/>
          <w:u w:val="single"/>
        </w:rPr>
        <w:t>Actions</w:t>
      </w:r>
    </w:p>
    <w:p>
      <w:pPr>
        <w:pStyle w:val="ListParagraph"/>
        <w:numPr>
          <w:ilvl w:val="2"/>
          <w:numId w:val="11"/>
        </w:numPr>
        <w:tabs>
          <w:tab w:pos="2521" w:val="left" w:leader="none"/>
        </w:tabs>
        <w:spacing w:line="259" w:lineRule="auto" w:before="16" w:after="0"/>
        <w:ind w:left="2520" w:right="1435" w:hanging="360"/>
        <w:jc w:val="both"/>
        <w:rPr>
          <w:sz w:val="24"/>
        </w:rPr>
      </w:pPr>
      <w:r>
        <w:rPr>
          <w:sz w:val="24"/>
        </w:rPr>
        <w:t>Update the County’s adopted Small Area Plans and create new Community Plans and other appropriate plans which address the particular needs and guide the remaining build-out and/or redevelopment of specific areas within the Suburban Policy</w:t>
      </w:r>
      <w:r>
        <w:rPr>
          <w:spacing w:val="-14"/>
          <w:sz w:val="24"/>
        </w:rPr>
        <w:t> </w:t>
      </w:r>
      <w:r>
        <w:rPr>
          <w:sz w:val="24"/>
        </w:rPr>
        <w:t>Area.</w:t>
      </w:r>
    </w:p>
    <w:p>
      <w:pPr>
        <w:pStyle w:val="ListParagraph"/>
        <w:numPr>
          <w:ilvl w:val="2"/>
          <w:numId w:val="11"/>
        </w:numPr>
        <w:tabs>
          <w:tab w:pos="2521" w:val="left" w:leader="none"/>
        </w:tabs>
        <w:spacing w:line="256" w:lineRule="auto" w:before="160" w:after="0"/>
        <w:ind w:left="2520" w:right="1432" w:hanging="360"/>
        <w:jc w:val="both"/>
        <w:rPr>
          <w:sz w:val="24"/>
        </w:rPr>
      </w:pPr>
      <w:r>
        <w:rPr>
          <w:sz w:val="24"/>
        </w:rPr>
        <w:t>Establish design principles for individual communities within the Suburban Policy Area which ensure a high quality of development and redevelopment is</w:t>
      </w:r>
      <w:r>
        <w:rPr>
          <w:spacing w:val="-10"/>
          <w:sz w:val="24"/>
        </w:rPr>
        <w:t> </w:t>
      </w:r>
      <w:r>
        <w:rPr>
          <w:sz w:val="24"/>
        </w:rPr>
        <w:t>achieved.</w:t>
      </w:r>
    </w:p>
    <w:p>
      <w:pPr>
        <w:pStyle w:val="ListParagraph"/>
        <w:numPr>
          <w:ilvl w:val="2"/>
          <w:numId w:val="11"/>
        </w:numPr>
        <w:tabs>
          <w:tab w:pos="2521" w:val="left" w:leader="none"/>
        </w:tabs>
        <w:spacing w:line="256" w:lineRule="auto" w:before="165" w:after="0"/>
        <w:ind w:left="2520" w:right="1436" w:hanging="360"/>
        <w:jc w:val="both"/>
        <w:rPr>
          <w:sz w:val="24"/>
        </w:rPr>
      </w:pPr>
      <w:r>
        <w:rPr>
          <w:sz w:val="24"/>
        </w:rPr>
        <w:t>Ensure development and redevelopment proposals conform to the applicable Design Guidelines of this</w:t>
      </w:r>
      <w:r>
        <w:rPr>
          <w:spacing w:val="-1"/>
          <w:sz w:val="24"/>
        </w:rPr>
        <w:t> </w:t>
      </w:r>
      <w:r>
        <w:rPr>
          <w:sz w:val="24"/>
        </w:rPr>
        <w:t>plan.</w:t>
      </w:r>
    </w:p>
    <w:p>
      <w:pPr>
        <w:spacing w:before="173"/>
        <w:ind w:left="1440" w:right="0" w:firstLine="0"/>
        <w:jc w:val="left"/>
        <w:rPr>
          <w:rFonts w:ascii="Verdana"/>
          <w:sz w:val="22"/>
        </w:rPr>
      </w:pPr>
      <w:r>
        <w:rPr>
          <w:rFonts w:ascii="Verdana"/>
          <w:sz w:val="22"/>
          <w:u w:val="single"/>
        </w:rPr>
        <w:t>Strategy</w:t>
      </w:r>
    </w:p>
    <w:p>
      <w:pPr>
        <w:pStyle w:val="ListParagraph"/>
        <w:numPr>
          <w:ilvl w:val="1"/>
          <w:numId w:val="11"/>
        </w:numPr>
        <w:tabs>
          <w:tab w:pos="2348" w:val="left" w:leader="none"/>
        </w:tabs>
        <w:spacing w:line="240" w:lineRule="auto" w:before="13" w:after="0"/>
        <w:ind w:left="2347" w:right="0" w:hanging="547"/>
        <w:jc w:val="left"/>
        <w:rPr>
          <w:sz w:val="24"/>
        </w:rPr>
      </w:pPr>
      <w:r>
        <w:rPr>
          <w:sz w:val="24"/>
        </w:rPr>
        <w:t>Enable residents to become more involved in their neighborhoods.</w:t>
      </w:r>
    </w:p>
    <w:p>
      <w:pPr>
        <w:spacing w:before="193"/>
        <w:ind w:left="1800" w:right="0" w:firstLine="0"/>
        <w:jc w:val="left"/>
        <w:rPr>
          <w:rFonts w:ascii="Verdana"/>
          <w:sz w:val="22"/>
        </w:rPr>
      </w:pPr>
      <w:r>
        <w:rPr>
          <w:rFonts w:ascii="Verdana"/>
          <w:sz w:val="22"/>
          <w:u w:val="single"/>
        </w:rPr>
        <w:t>Actions</w:t>
      </w:r>
    </w:p>
    <w:p>
      <w:pPr>
        <w:pStyle w:val="ListParagraph"/>
        <w:numPr>
          <w:ilvl w:val="2"/>
          <w:numId w:val="11"/>
        </w:numPr>
        <w:tabs>
          <w:tab w:pos="2521" w:val="left" w:leader="none"/>
        </w:tabs>
        <w:spacing w:line="256" w:lineRule="auto" w:before="15" w:after="0"/>
        <w:ind w:left="2520" w:right="1439" w:hanging="360"/>
        <w:jc w:val="left"/>
        <w:rPr>
          <w:sz w:val="24"/>
        </w:rPr>
      </w:pPr>
      <w:r>
        <w:rPr>
          <w:sz w:val="24"/>
        </w:rPr>
        <w:t>Develop a public outreach program to educate neighborhood residents regarding County programs available to</w:t>
      </w:r>
      <w:r>
        <w:rPr>
          <w:spacing w:val="-6"/>
          <w:sz w:val="24"/>
        </w:rPr>
        <w:t> </w:t>
      </w:r>
      <w:r>
        <w:rPr>
          <w:sz w:val="24"/>
        </w:rPr>
        <w:t>them.</w:t>
      </w:r>
    </w:p>
    <w:p>
      <w:pPr>
        <w:pStyle w:val="ListParagraph"/>
        <w:numPr>
          <w:ilvl w:val="2"/>
          <w:numId w:val="11"/>
        </w:numPr>
        <w:tabs>
          <w:tab w:pos="2521" w:val="left" w:leader="none"/>
        </w:tabs>
        <w:spacing w:line="240" w:lineRule="auto" w:before="163" w:after="0"/>
        <w:ind w:left="2520" w:right="0" w:hanging="360"/>
        <w:jc w:val="left"/>
        <w:rPr>
          <w:sz w:val="24"/>
        </w:rPr>
      </w:pPr>
      <w:r>
        <w:rPr>
          <w:sz w:val="24"/>
        </w:rPr>
        <w:t>Expand civic outreach to involve underserved</w:t>
      </w:r>
      <w:r>
        <w:rPr>
          <w:spacing w:val="-1"/>
          <w:sz w:val="24"/>
        </w:rPr>
        <w:t> </w:t>
      </w:r>
      <w:r>
        <w:rPr>
          <w:sz w:val="24"/>
        </w:rPr>
        <w:t>individuals.</w:t>
      </w:r>
    </w:p>
    <w:p>
      <w:pPr>
        <w:pStyle w:val="ListParagraph"/>
        <w:numPr>
          <w:ilvl w:val="2"/>
          <w:numId w:val="11"/>
        </w:numPr>
        <w:tabs>
          <w:tab w:pos="2521" w:val="left" w:leader="none"/>
        </w:tabs>
        <w:spacing w:line="240" w:lineRule="auto" w:before="183" w:after="0"/>
        <w:ind w:left="2520" w:right="0" w:hanging="360"/>
        <w:jc w:val="left"/>
        <w:rPr>
          <w:sz w:val="24"/>
        </w:rPr>
      </w:pPr>
      <w:r>
        <w:rPr>
          <w:sz w:val="24"/>
        </w:rPr>
        <w:t>Support citizen organizations in their efforts to improve their</w:t>
      </w:r>
      <w:r>
        <w:rPr>
          <w:spacing w:val="-5"/>
          <w:sz w:val="24"/>
        </w:rPr>
        <w:t> </w:t>
      </w:r>
      <w:r>
        <w:rPr>
          <w:sz w:val="24"/>
        </w:rPr>
        <w:t>communities.</w:t>
      </w:r>
    </w:p>
    <w:p>
      <w:pPr>
        <w:pStyle w:val="ListParagraph"/>
        <w:numPr>
          <w:ilvl w:val="2"/>
          <w:numId w:val="11"/>
        </w:numPr>
        <w:tabs>
          <w:tab w:pos="2521" w:val="left" w:leader="none"/>
        </w:tabs>
        <w:spacing w:line="256" w:lineRule="auto" w:before="185" w:after="0"/>
        <w:ind w:left="2520" w:right="1442" w:hanging="360"/>
        <w:jc w:val="left"/>
        <w:rPr>
          <w:sz w:val="24"/>
        </w:rPr>
      </w:pPr>
      <w:r>
        <w:rPr>
          <w:sz w:val="24"/>
        </w:rPr>
        <w:t>Foster the development of community partnerships to improve community character, maintenance, and</w:t>
      </w:r>
      <w:r>
        <w:rPr>
          <w:spacing w:val="0"/>
          <w:sz w:val="24"/>
        </w:rPr>
        <w:t> </w:t>
      </w:r>
      <w:r>
        <w:rPr>
          <w:sz w:val="24"/>
        </w:rPr>
        <w:t>safety.</w:t>
      </w:r>
    </w:p>
    <w:p>
      <w:pPr>
        <w:pStyle w:val="ListParagraph"/>
        <w:numPr>
          <w:ilvl w:val="2"/>
          <w:numId w:val="11"/>
        </w:numPr>
        <w:tabs>
          <w:tab w:pos="2521" w:val="left" w:leader="none"/>
        </w:tabs>
        <w:spacing w:line="256" w:lineRule="auto" w:before="165" w:after="0"/>
        <w:ind w:left="2520" w:right="1441" w:hanging="360"/>
        <w:jc w:val="left"/>
        <w:rPr>
          <w:sz w:val="24"/>
        </w:rPr>
      </w:pPr>
      <w:r>
        <w:rPr>
          <w:sz w:val="24"/>
        </w:rPr>
        <w:t>Invest in programs that allow residents to formulate and assume stewardship of neighborhood values, standards, and</w:t>
      </w:r>
      <w:r>
        <w:rPr>
          <w:spacing w:val="0"/>
          <w:sz w:val="24"/>
        </w:rPr>
        <w:t> </w:t>
      </w:r>
      <w:r>
        <w:rPr>
          <w:sz w:val="24"/>
        </w:rPr>
        <w:t>goals.</w:t>
      </w:r>
    </w:p>
    <w:p>
      <w:pPr>
        <w:spacing w:before="171"/>
        <w:ind w:left="1440" w:right="0" w:firstLine="0"/>
        <w:jc w:val="left"/>
        <w:rPr>
          <w:rFonts w:ascii="Verdana"/>
          <w:sz w:val="22"/>
        </w:rPr>
      </w:pPr>
      <w:r>
        <w:rPr>
          <w:rFonts w:ascii="Verdana"/>
          <w:sz w:val="22"/>
          <w:u w:val="single"/>
        </w:rPr>
        <w:t>Strategy</w:t>
      </w:r>
    </w:p>
    <w:p>
      <w:pPr>
        <w:pStyle w:val="ListParagraph"/>
        <w:numPr>
          <w:ilvl w:val="1"/>
          <w:numId w:val="11"/>
        </w:numPr>
        <w:tabs>
          <w:tab w:pos="2348" w:val="left" w:leader="none"/>
        </w:tabs>
        <w:spacing w:line="256" w:lineRule="auto" w:before="18" w:after="0"/>
        <w:ind w:left="2347" w:right="1438" w:hanging="547"/>
        <w:jc w:val="left"/>
        <w:rPr>
          <w:sz w:val="24"/>
        </w:rPr>
      </w:pPr>
      <w:r>
        <w:rPr>
          <w:sz w:val="24"/>
        </w:rPr>
        <w:t>Integrate new development within the Suburban Policy Area with the existing development pattern that surrounds</w:t>
      </w:r>
      <w:r>
        <w:rPr>
          <w:spacing w:val="0"/>
          <w:sz w:val="24"/>
        </w:rPr>
        <w:t> </w:t>
      </w:r>
      <w:r>
        <w:rPr>
          <w:sz w:val="24"/>
        </w:rPr>
        <w:t>it.</w:t>
      </w:r>
    </w:p>
    <w:p>
      <w:pPr>
        <w:spacing w:before="173"/>
        <w:ind w:left="1800" w:right="0" w:firstLine="0"/>
        <w:jc w:val="left"/>
        <w:rPr>
          <w:rFonts w:ascii="Verdana"/>
          <w:sz w:val="22"/>
        </w:rPr>
      </w:pPr>
      <w:r>
        <w:rPr>
          <w:rFonts w:ascii="Verdana"/>
          <w:sz w:val="22"/>
          <w:u w:val="single"/>
        </w:rPr>
        <w:t>Action</w:t>
      </w:r>
    </w:p>
    <w:p>
      <w:pPr>
        <w:pStyle w:val="ListParagraph"/>
        <w:numPr>
          <w:ilvl w:val="2"/>
          <w:numId w:val="11"/>
        </w:numPr>
        <w:tabs>
          <w:tab w:pos="2521" w:val="left" w:leader="none"/>
        </w:tabs>
        <w:spacing w:line="256" w:lineRule="auto" w:before="15" w:after="0"/>
        <w:ind w:left="2520" w:right="1441" w:hanging="360"/>
        <w:jc w:val="left"/>
        <w:rPr>
          <w:sz w:val="24"/>
        </w:rPr>
      </w:pPr>
      <w:r>
        <w:rPr>
          <w:sz w:val="24"/>
        </w:rPr>
        <w:t>Evaluate the appropriateness of a proposed use or development with the surrounding community.</w:t>
      </w:r>
    </w:p>
    <w:p>
      <w:pPr>
        <w:spacing w:before="174"/>
        <w:ind w:left="1440" w:right="0" w:firstLine="0"/>
        <w:jc w:val="left"/>
        <w:rPr>
          <w:rFonts w:ascii="Verdana"/>
          <w:sz w:val="22"/>
        </w:rPr>
      </w:pPr>
      <w:r>
        <w:rPr>
          <w:rFonts w:ascii="Verdana"/>
          <w:sz w:val="22"/>
          <w:u w:val="single"/>
        </w:rPr>
        <w:t>Strategy</w:t>
      </w:r>
    </w:p>
    <w:p>
      <w:pPr>
        <w:pStyle w:val="ListParagraph"/>
        <w:numPr>
          <w:ilvl w:val="1"/>
          <w:numId w:val="11"/>
        </w:numPr>
        <w:tabs>
          <w:tab w:pos="2341" w:val="left" w:leader="none"/>
        </w:tabs>
        <w:spacing w:line="259" w:lineRule="auto" w:before="15" w:after="0"/>
        <w:ind w:left="2340" w:right="1440" w:hanging="540"/>
        <w:jc w:val="left"/>
        <w:rPr>
          <w:sz w:val="24"/>
        </w:rPr>
      </w:pPr>
      <w:r>
        <w:rPr>
          <w:sz w:val="24"/>
        </w:rPr>
        <w:t>Design and develop Suburban Policy Area communities as walkable and interconnected places.</w:t>
      </w:r>
    </w:p>
    <w:p>
      <w:pPr>
        <w:spacing w:after="0" w:line="259" w:lineRule="auto"/>
        <w:jc w:val="left"/>
        <w:rPr>
          <w:sz w:val="24"/>
        </w:rPr>
        <w:sectPr>
          <w:pgSz w:w="12240" w:h="15840"/>
          <w:pgMar w:header="719" w:footer="443" w:top="920" w:bottom="740" w:left="0" w:right="0"/>
        </w:sectPr>
      </w:pPr>
    </w:p>
    <w:p>
      <w:pPr>
        <w:pStyle w:val="BodyText"/>
        <w:rPr>
          <w:sz w:val="20"/>
        </w:rPr>
      </w:pPr>
    </w:p>
    <w:p>
      <w:pPr>
        <w:pStyle w:val="BodyText"/>
        <w:spacing w:before="5"/>
        <w:rPr>
          <w:sz w:val="23"/>
        </w:rPr>
      </w:pPr>
    </w:p>
    <w:p>
      <w:pPr>
        <w:spacing w:before="0"/>
        <w:ind w:left="1800" w:right="0" w:firstLine="0"/>
        <w:jc w:val="left"/>
        <w:rPr>
          <w:rFonts w:ascii="Verdana"/>
          <w:sz w:val="22"/>
        </w:rPr>
      </w:pPr>
      <w:r>
        <w:rPr>
          <w:rFonts w:ascii="Verdana"/>
          <w:sz w:val="22"/>
          <w:u w:val="single"/>
        </w:rPr>
        <w:t>Actions</w:t>
      </w:r>
    </w:p>
    <w:p>
      <w:pPr>
        <w:pStyle w:val="ListParagraph"/>
        <w:numPr>
          <w:ilvl w:val="2"/>
          <w:numId w:val="11"/>
        </w:numPr>
        <w:tabs>
          <w:tab w:pos="2521" w:val="left" w:leader="none"/>
        </w:tabs>
        <w:spacing w:line="256" w:lineRule="auto" w:before="179" w:after="0"/>
        <w:ind w:left="2520" w:right="1443" w:hanging="360"/>
        <w:jc w:val="both"/>
        <w:rPr>
          <w:sz w:val="24"/>
        </w:rPr>
      </w:pPr>
      <w:r>
        <w:rPr>
          <w:sz w:val="24"/>
        </w:rPr>
        <w:t>The County, in collaboration with other governmental agencies and the private sector, will ensure through a variety of measures that all public spaces in residential and commercial areas are accessible by</w:t>
      </w:r>
      <w:r>
        <w:rPr>
          <w:spacing w:val="-4"/>
          <w:sz w:val="24"/>
        </w:rPr>
        <w:t> </w:t>
      </w:r>
      <w:r>
        <w:rPr>
          <w:sz w:val="24"/>
        </w:rPr>
        <w:t>pedestrians.</w:t>
      </w:r>
    </w:p>
    <w:p>
      <w:pPr>
        <w:pStyle w:val="ListParagraph"/>
        <w:numPr>
          <w:ilvl w:val="2"/>
          <w:numId w:val="11"/>
        </w:numPr>
        <w:tabs>
          <w:tab w:pos="2521" w:val="left" w:leader="none"/>
        </w:tabs>
        <w:spacing w:line="259" w:lineRule="auto" w:before="168" w:after="0"/>
        <w:ind w:left="2520" w:right="1439" w:hanging="360"/>
        <w:jc w:val="both"/>
        <w:rPr>
          <w:sz w:val="24"/>
        </w:rPr>
      </w:pPr>
      <w:r>
        <w:rPr/>
        <w:pict>
          <v:group style="position:absolute;margin-left:90.066002pt;margin-top:47.933132pt;width:449.95pt;height:436.5pt;mso-position-horizontal-relative:page;mso-position-vertical-relative:paragraph;z-index:-29824" coordorigin="1801,959" coordsize="8999,8730">
            <v:shape style="position:absolute;left:1801;top:958;width:7906;height:8380" coordorigin="1801,959" coordsize="7906,8380" path="m4498,8222l4492,8149,4477,8071,4455,7988,4432,7919,4402,7847,4367,7772,4325,7694,4276,7613,4236,7554,4200,7503,4200,8189,4197,8245,4185,8302,4167,8360,4138,8419,4097,8482,4044,8548,3979,8617,3674,8923,2216,7465,2517,7164,2598,7088,2672,7028,2740,6985,2801,6958,2868,6944,2941,6940,3020,6947,3105,6965,3195,6994,3255,7019,3317,7052,3380,7090,3446,7135,3514,7187,3584,7245,3656,7310,3729,7381,3789,7442,3844,7503,3896,7562,3943,7620,3986,7676,4024,7731,4059,7785,4101,7860,4136,7932,4163,8002,4183,8069,4196,8133,4200,8189,4200,7503,4194,7495,4148,7435,4098,7374,4045,7313,3989,7252,3929,7190,3865,7128,3801,7069,3737,7014,3673,6963,3643,6940,3609,6915,3546,6870,3482,6829,3419,6791,3346,6753,3274,6721,3203,6694,3132,6672,3062,6655,2992,6643,2923,6636,2850,6634,2779,6641,2709,6656,2642,6679,2577,6709,2528,6737,2476,6774,2420,6820,2359,6874,2294,6936,1801,7430,3710,9338,4124,8923,4226,8821,4287,8756,4341,8691,4386,8625,4424,8558,4454,8492,4476,8425,4491,8359,4498,8291,4498,8222m6418,6629l6056,6502,5650,6359,5561,6330,5475,6306,5393,6287,5364,6281,5314,6272,5239,6262,5193,6260,5143,6264,5089,6271,5030,6281,5074,6212,5109,6142,5136,6073,5154,6004,5164,5936,5165,5867,5157,5800,5139,5722,5111,5645,5075,5571,5030,5498,4976,5427,4956,5405,4913,5359,4872,5321,4872,5878,4868,5934,4854,5988,4830,6045,4794,6103,4747,6164,4687,6228,4413,6502,4280,6635,3649,6004,4102,5551,4166,5494,4229,5451,4293,5421,4358,5406,4422,5405,4501,5420,4577,5450,4649,5494,4718,5554,4761,5602,4797,5652,4827,5706,4851,5763,4867,5821,4872,5878,4872,5321,4849,5299,4782,5247,4713,5201,4641,5163,4566,5131,4474,5102,4386,5090,4303,5092,4225,5107,4163,5132,4098,5169,4030,5217,3958,5277,3883,5348,3248,5982,5157,7891,5346,7701,4499,6854,4718,6635,4753,6601,4783,6573,4810,6552,4833,6538,4863,6524,4896,6513,4932,6506,4971,6502,5014,6502,5066,6507,5125,6517,5194,6534,5256,6551,5328,6572,5407,6597,5496,6626,6180,6867,6418,6629m7780,5267l7415,5072,6555,4618,6555,4925,6070,5410,5989,5267,5748,4836,5708,4765,5668,4693,5629,4628,5590,4563,5550,4499,5509,4436,5467,4374,5424,4312,5380,4251,5436,4287,5498,4325,5564,4365,5635,4407,5792,4497,6555,4925,6555,4618,5862,4251,5286,3945,5082,4149,5277,4499,5316,4569,5701,5267,6168,6116,6441,6607,6642,6405,6565,6272,6298,5804,6221,5670,6481,5410,6820,5072,7565,5483,7780,5267m8131,4916l7264,4050,7489,3824,7936,3378,7711,3152,7039,3824,6448,3233,7224,2457,6999,2232,6033,3198,7941,5106,8131,4916m9707,3340l8213,1847,8024,1657,8497,1184,8272,959,7138,2093,7363,2318,7834,1847,9517,3530,9707,3340e" filled="true" fillcolor="#c0c0c0" stroked="false">
              <v:path arrowok="t"/>
              <v:fill opacity="32896f" type="solid"/>
            </v:shape>
            <v:shape style="position:absolute;left:7047;top:4587;width:3753;height:5101" type="#_x0000_t75" stroked="false">
              <v:imagedata r:id="rId48" o:title=""/>
            </v:shape>
            <w10:wrap type="none"/>
          </v:group>
        </w:pict>
      </w:r>
      <w:r>
        <w:rPr>
          <w:sz w:val="24"/>
        </w:rPr>
        <w:t>Retail</w:t>
      </w:r>
      <w:r>
        <w:rPr>
          <w:spacing w:val="-4"/>
          <w:sz w:val="24"/>
        </w:rPr>
        <w:t> </w:t>
      </w:r>
      <w:r>
        <w:rPr>
          <w:sz w:val="24"/>
        </w:rPr>
        <w:t>and</w:t>
      </w:r>
      <w:r>
        <w:rPr>
          <w:spacing w:val="-5"/>
          <w:sz w:val="24"/>
        </w:rPr>
        <w:t> </w:t>
      </w:r>
      <w:r>
        <w:rPr>
          <w:sz w:val="24"/>
        </w:rPr>
        <w:t>office</w:t>
      </w:r>
      <w:r>
        <w:rPr>
          <w:spacing w:val="-6"/>
          <w:sz w:val="24"/>
        </w:rPr>
        <w:t> </w:t>
      </w:r>
      <w:r>
        <w:rPr>
          <w:sz w:val="24"/>
        </w:rPr>
        <w:t>development</w:t>
      </w:r>
      <w:r>
        <w:rPr>
          <w:spacing w:val="-5"/>
          <w:sz w:val="24"/>
        </w:rPr>
        <w:t> </w:t>
      </w:r>
      <w:r>
        <w:rPr>
          <w:sz w:val="24"/>
        </w:rPr>
        <w:t>proposals</w:t>
      </w:r>
      <w:r>
        <w:rPr>
          <w:spacing w:val="-3"/>
          <w:sz w:val="24"/>
        </w:rPr>
        <w:t> </w:t>
      </w:r>
      <w:r>
        <w:rPr>
          <w:sz w:val="24"/>
        </w:rPr>
        <w:t>will</w:t>
      </w:r>
      <w:r>
        <w:rPr>
          <w:spacing w:val="-4"/>
          <w:sz w:val="24"/>
        </w:rPr>
        <w:t> </w:t>
      </w:r>
      <w:r>
        <w:rPr>
          <w:sz w:val="24"/>
        </w:rPr>
        <w:t>combine</w:t>
      </w:r>
      <w:r>
        <w:rPr>
          <w:spacing w:val="-5"/>
          <w:sz w:val="24"/>
        </w:rPr>
        <w:t> </w:t>
      </w:r>
      <w:r>
        <w:rPr>
          <w:sz w:val="24"/>
        </w:rPr>
        <w:t>open</w:t>
      </w:r>
      <w:r>
        <w:rPr>
          <w:spacing w:val="-5"/>
          <w:sz w:val="24"/>
        </w:rPr>
        <w:t> </w:t>
      </w:r>
      <w:r>
        <w:rPr>
          <w:sz w:val="24"/>
        </w:rPr>
        <w:t>and</w:t>
      </w:r>
      <w:r>
        <w:rPr>
          <w:spacing w:val="-5"/>
          <w:sz w:val="24"/>
        </w:rPr>
        <w:t> </w:t>
      </w:r>
      <w:r>
        <w:rPr>
          <w:sz w:val="24"/>
        </w:rPr>
        <w:t>civic</w:t>
      </w:r>
      <w:r>
        <w:rPr>
          <w:spacing w:val="-6"/>
          <w:sz w:val="24"/>
        </w:rPr>
        <w:t> </w:t>
      </w:r>
      <w:r>
        <w:rPr>
          <w:sz w:val="24"/>
        </w:rPr>
        <w:t>space</w:t>
      </w:r>
      <w:r>
        <w:rPr>
          <w:spacing w:val="-4"/>
          <w:sz w:val="24"/>
        </w:rPr>
        <w:t> </w:t>
      </w:r>
      <w:r>
        <w:rPr>
          <w:sz w:val="24"/>
        </w:rPr>
        <w:t>in</w:t>
      </w:r>
      <w:r>
        <w:rPr>
          <w:spacing w:val="-4"/>
          <w:sz w:val="24"/>
        </w:rPr>
        <w:t> </w:t>
      </w:r>
      <w:r>
        <w:rPr>
          <w:sz w:val="24"/>
        </w:rPr>
        <w:t>features such as pedestrian promenades and plazas, public art, entrance features, linear parks and trails, outdoor seating, lawns and greens, and similar design features that invite pedestrian</w:t>
      </w:r>
      <w:r>
        <w:rPr>
          <w:spacing w:val="-1"/>
          <w:sz w:val="24"/>
        </w:rPr>
        <w:t> </w:t>
      </w:r>
      <w:r>
        <w:rPr>
          <w:sz w:val="24"/>
        </w:rPr>
        <w:t>activity.</w:t>
      </w:r>
    </w:p>
    <w:p>
      <w:pPr>
        <w:pStyle w:val="ListParagraph"/>
        <w:numPr>
          <w:ilvl w:val="2"/>
          <w:numId w:val="11"/>
        </w:numPr>
        <w:tabs>
          <w:tab w:pos="2521" w:val="left" w:leader="none"/>
        </w:tabs>
        <w:spacing w:line="256" w:lineRule="auto" w:before="159" w:after="0"/>
        <w:ind w:left="2520" w:right="1441" w:hanging="360"/>
        <w:jc w:val="both"/>
        <w:rPr>
          <w:sz w:val="24"/>
        </w:rPr>
      </w:pPr>
      <w:r>
        <w:rPr>
          <w:sz w:val="24"/>
        </w:rPr>
        <w:t>Require</w:t>
      </w:r>
      <w:r>
        <w:rPr>
          <w:spacing w:val="-17"/>
          <w:sz w:val="24"/>
        </w:rPr>
        <w:t> </w:t>
      </w:r>
      <w:r>
        <w:rPr>
          <w:sz w:val="24"/>
        </w:rPr>
        <w:t>convenient</w:t>
      </w:r>
      <w:r>
        <w:rPr>
          <w:spacing w:val="-16"/>
          <w:sz w:val="24"/>
        </w:rPr>
        <w:t> </w:t>
      </w:r>
      <w:r>
        <w:rPr>
          <w:sz w:val="24"/>
        </w:rPr>
        <w:t>access</w:t>
      </w:r>
      <w:r>
        <w:rPr>
          <w:spacing w:val="-16"/>
          <w:sz w:val="24"/>
        </w:rPr>
        <w:t> </w:t>
      </w:r>
      <w:r>
        <w:rPr>
          <w:sz w:val="24"/>
        </w:rPr>
        <w:t>by</w:t>
      </w:r>
      <w:r>
        <w:rPr>
          <w:spacing w:val="-21"/>
          <w:sz w:val="24"/>
        </w:rPr>
        <w:t> </w:t>
      </w:r>
      <w:r>
        <w:rPr>
          <w:sz w:val="24"/>
        </w:rPr>
        <w:t>foot</w:t>
      </w:r>
      <w:r>
        <w:rPr>
          <w:spacing w:val="-16"/>
          <w:sz w:val="24"/>
        </w:rPr>
        <w:t> </w:t>
      </w:r>
      <w:r>
        <w:rPr>
          <w:sz w:val="24"/>
        </w:rPr>
        <w:t>and</w:t>
      </w:r>
      <w:r>
        <w:rPr>
          <w:spacing w:val="-16"/>
          <w:sz w:val="24"/>
        </w:rPr>
        <w:t> </w:t>
      </w:r>
      <w:r>
        <w:rPr>
          <w:sz w:val="24"/>
        </w:rPr>
        <w:t>bicycle</w:t>
      </w:r>
      <w:r>
        <w:rPr>
          <w:spacing w:val="-16"/>
          <w:sz w:val="24"/>
        </w:rPr>
        <w:t> </w:t>
      </w:r>
      <w:r>
        <w:rPr>
          <w:sz w:val="24"/>
        </w:rPr>
        <w:t>for</w:t>
      </w:r>
      <w:r>
        <w:rPr>
          <w:spacing w:val="-17"/>
          <w:sz w:val="24"/>
        </w:rPr>
        <w:t> </w:t>
      </w:r>
      <w:r>
        <w:rPr>
          <w:sz w:val="24"/>
        </w:rPr>
        <w:t>residential,</w:t>
      </w:r>
      <w:r>
        <w:rPr>
          <w:spacing w:val="-15"/>
          <w:sz w:val="24"/>
        </w:rPr>
        <w:t> </w:t>
      </w:r>
      <w:r>
        <w:rPr>
          <w:sz w:val="24"/>
        </w:rPr>
        <w:t>office,</w:t>
      </w:r>
      <w:r>
        <w:rPr>
          <w:spacing w:val="-16"/>
          <w:sz w:val="24"/>
        </w:rPr>
        <w:t> </w:t>
      </w:r>
      <w:r>
        <w:rPr>
          <w:sz w:val="24"/>
        </w:rPr>
        <w:t>institutional,</w:t>
      </w:r>
      <w:r>
        <w:rPr>
          <w:spacing w:val="-15"/>
          <w:sz w:val="24"/>
        </w:rPr>
        <w:t> </w:t>
      </w:r>
      <w:r>
        <w:rPr>
          <w:sz w:val="24"/>
        </w:rPr>
        <w:t>civic, and retail</w:t>
      </w:r>
      <w:r>
        <w:rPr>
          <w:spacing w:val="-1"/>
          <w:sz w:val="24"/>
        </w:rPr>
        <w:t> </w:t>
      </w:r>
      <w:r>
        <w:rPr>
          <w:sz w:val="24"/>
        </w:rPr>
        <w:t>areas.</w:t>
      </w:r>
    </w:p>
    <w:p>
      <w:pPr>
        <w:pStyle w:val="ListParagraph"/>
        <w:numPr>
          <w:ilvl w:val="2"/>
          <w:numId w:val="11"/>
        </w:numPr>
        <w:tabs>
          <w:tab w:pos="2521" w:val="left" w:leader="none"/>
        </w:tabs>
        <w:spacing w:line="256" w:lineRule="auto" w:before="166" w:after="0"/>
        <w:ind w:left="2520" w:right="1434" w:hanging="360"/>
        <w:jc w:val="both"/>
        <w:rPr>
          <w:sz w:val="24"/>
        </w:rPr>
      </w:pPr>
      <w:r>
        <w:rPr>
          <w:sz w:val="24"/>
        </w:rPr>
        <w:t>The </w:t>
      </w:r>
      <w:r>
        <w:rPr>
          <w:i/>
          <w:sz w:val="24"/>
        </w:rPr>
        <w:t>Loudoun 2040 Countywide Transportation Plan </w:t>
      </w:r>
      <w:r>
        <w:rPr>
          <w:sz w:val="24"/>
        </w:rPr>
        <w:t>will provide additional transportation</w:t>
      </w:r>
      <w:r>
        <w:rPr>
          <w:spacing w:val="-10"/>
          <w:sz w:val="24"/>
        </w:rPr>
        <w:t> </w:t>
      </w:r>
      <w:r>
        <w:rPr>
          <w:sz w:val="24"/>
        </w:rPr>
        <w:t>policy</w:t>
      </w:r>
      <w:r>
        <w:rPr>
          <w:spacing w:val="-14"/>
          <w:sz w:val="24"/>
        </w:rPr>
        <w:t> </w:t>
      </w:r>
      <w:r>
        <w:rPr>
          <w:sz w:val="24"/>
        </w:rPr>
        <w:t>direction</w:t>
      </w:r>
      <w:r>
        <w:rPr>
          <w:spacing w:val="-10"/>
          <w:sz w:val="24"/>
        </w:rPr>
        <w:t> </w:t>
      </w:r>
      <w:r>
        <w:rPr>
          <w:sz w:val="24"/>
        </w:rPr>
        <w:t>for</w:t>
      </w:r>
      <w:r>
        <w:rPr>
          <w:spacing w:val="-11"/>
          <w:sz w:val="24"/>
        </w:rPr>
        <w:t> </w:t>
      </w:r>
      <w:r>
        <w:rPr>
          <w:sz w:val="24"/>
        </w:rPr>
        <w:t>the</w:t>
      </w:r>
      <w:r>
        <w:rPr>
          <w:spacing w:val="-10"/>
          <w:sz w:val="24"/>
        </w:rPr>
        <w:t> </w:t>
      </w:r>
      <w:r>
        <w:rPr>
          <w:sz w:val="24"/>
        </w:rPr>
        <w:t>transportation</w:t>
      </w:r>
      <w:r>
        <w:rPr>
          <w:spacing w:val="-10"/>
          <w:sz w:val="24"/>
        </w:rPr>
        <w:t> </w:t>
      </w:r>
      <w:r>
        <w:rPr>
          <w:sz w:val="24"/>
        </w:rPr>
        <w:t>network</w:t>
      </w:r>
      <w:r>
        <w:rPr>
          <w:spacing w:val="-10"/>
          <w:sz w:val="24"/>
        </w:rPr>
        <w:t> </w:t>
      </w:r>
      <w:r>
        <w:rPr>
          <w:sz w:val="24"/>
        </w:rPr>
        <w:t>(walkability,</w:t>
      </w:r>
      <w:r>
        <w:rPr>
          <w:spacing w:val="-7"/>
          <w:sz w:val="24"/>
        </w:rPr>
        <w:t> </w:t>
      </w:r>
      <w:r>
        <w:rPr>
          <w:sz w:val="24"/>
        </w:rPr>
        <w:t>multimodal, connectivity) in the Suburban Policy</w:t>
      </w:r>
      <w:r>
        <w:rPr>
          <w:spacing w:val="-4"/>
          <w:sz w:val="24"/>
        </w:rPr>
        <w:t> </w:t>
      </w:r>
      <w:r>
        <w:rPr>
          <w:sz w:val="24"/>
        </w:rPr>
        <w:t>Area.</w:t>
      </w:r>
    </w:p>
    <w:p>
      <w:pPr>
        <w:pStyle w:val="Heading4"/>
        <w:spacing w:line="249" w:lineRule="auto" w:before="124"/>
        <w:ind w:right="809"/>
      </w:pPr>
      <w:r>
        <w:rPr>
          <w:color w:val="396230"/>
        </w:rPr>
        <w:t>SPA</w:t>
      </w:r>
      <w:r>
        <w:rPr>
          <w:color w:val="396230"/>
          <w:spacing w:val="-23"/>
        </w:rPr>
        <w:t> </w:t>
      </w:r>
      <w:r>
        <w:rPr>
          <w:color w:val="396230"/>
        </w:rPr>
        <w:t>Policy</w:t>
      </w:r>
      <w:r>
        <w:rPr>
          <w:color w:val="396230"/>
          <w:spacing w:val="-23"/>
        </w:rPr>
        <w:t> </w:t>
      </w:r>
      <w:r>
        <w:rPr>
          <w:color w:val="396230"/>
        </w:rPr>
        <w:t>2:</w:t>
      </w:r>
      <w:r>
        <w:rPr>
          <w:color w:val="396230"/>
          <w:spacing w:val="-23"/>
        </w:rPr>
        <w:t> </w:t>
      </w:r>
      <w:r>
        <w:rPr>
          <w:color w:val="396230"/>
        </w:rPr>
        <w:t>Create</w:t>
      </w:r>
      <w:r>
        <w:rPr>
          <w:color w:val="396230"/>
          <w:spacing w:val="-22"/>
        </w:rPr>
        <w:t> </w:t>
      </w:r>
      <w:r>
        <w:rPr>
          <w:color w:val="396230"/>
        </w:rPr>
        <w:t>environments</w:t>
      </w:r>
      <w:r>
        <w:rPr>
          <w:color w:val="396230"/>
          <w:spacing w:val="-23"/>
        </w:rPr>
        <w:t> </w:t>
      </w:r>
      <w:r>
        <w:rPr>
          <w:color w:val="396230"/>
        </w:rPr>
        <w:t>where</w:t>
      </w:r>
      <w:r>
        <w:rPr>
          <w:color w:val="396230"/>
          <w:spacing w:val="-22"/>
        </w:rPr>
        <w:t> </w:t>
      </w:r>
      <w:r>
        <w:rPr>
          <w:color w:val="396230"/>
        </w:rPr>
        <w:t>individuals</w:t>
      </w:r>
      <w:r>
        <w:rPr>
          <w:color w:val="396230"/>
          <w:spacing w:val="-23"/>
        </w:rPr>
        <w:t> </w:t>
      </w:r>
      <w:r>
        <w:rPr>
          <w:color w:val="396230"/>
        </w:rPr>
        <w:t>can</w:t>
      </w:r>
      <w:r>
        <w:rPr>
          <w:color w:val="396230"/>
          <w:spacing w:val="-22"/>
        </w:rPr>
        <w:t> </w:t>
      </w:r>
      <w:r>
        <w:rPr>
          <w:color w:val="396230"/>
        </w:rPr>
        <w:t>work,</w:t>
      </w:r>
      <w:r>
        <w:rPr>
          <w:color w:val="396230"/>
          <w:spacing w:val="-22"/>
        </w:rPr>
        <w:t> </w:t>
      </w:r>
      <w:r>
        <w:rPr>
          <w:color w:val="396230"/>
        </w:rPr>
        <w:t>live,</w:t>
      </w:r>
      <w:r>
        <w:rPr>
          <w:color w:val="396230"/>
          <w:spacing w:val="-23"/>
        </w:rPr>
        <w:t> </w:t>
      </w:r>
      <w:r>
        <w:rPr>
          <w:color w:val="396230"/>
        </w:rPr>
        <w:t>and</w:t>
      </w:r>
      <w:r>
        <w:rPr>
          <w:color w:val="396230"/>
          <w:spacing w:val="-24"/>
        </w:rPr>
        <w:t> </w:t>
      </w:r>
      <w:r>
        <w:rPr>
          <w:color w:val="396230"/>
        </w:rPr>
        <w:t>have convenient</w:t>
      </w:r>
      <w:r>
        <w:rPr>
          <w:color w:val="396230"/>
          <w:spacing w:val="-22"/>
        </w:rPr>
        <w:t> </w:t>
      </w:r>
      <w:r>
        <w:rPr>
          <w:color w:val="396230"/>
        </w:rPr>
        <w:t>access</w:t>
      </w:r>
      <w:r>
        <w:rPr>
          <w:color w:val="396230"/>
          <w:spacing w:val="-23"/>
        </w:rPr>
        <w:t> </w:t>
      </w:r>
      <w:r>
        <w:rPr>
          <w:color w:val="396230"/>
        </w:rPr>
        <w:t>to</w:t>
      </w:r>
      <w:r>
        <w:rPr>
          <w:color w:val="396230"/>
          <w:spacing w:val="-23"/>
        </w:rPr>
        <w:t> </w:t>
      </w:r>
      <w:r>
        <w:rPr>
          <w:color w:val="396230"/>
        </w:rPr>
        <w:t>services,</w:t>
      </w:r>
      <w:r>
        <w:rPr>
          <w:color w:val="396230"/>
          <w:spacing w:val="-22"/>
        </w:rPr>
        <w:t> </w:t>
      </w:r>
      <w:r>
        <w:rPr>
          <w:color w:val="396230"/>
        </w:rPr>
        <w:t>shops,</w:t>
      </w:r>
      <w:r>
        <w:rPr>
          <w:color w:val="396230"/>
          <w:spacing w:val="-22"/>
        </w:rPr>
        <w:t> </w:t>
      </w:r>
      <w:r>
        <w:rPr>
          <w:color w:val="396230"/>
        </w:rPr>
        <w:t>and</w:t>
      </w:r>
      <w:r>
        <w:rPr>
          <w:color w:val="396230"/>
          <w:spacing w:val="-22"/>
        </w:rPr>
        <w:t> </w:t>
      </w:r>
      <w:r>
        <w:rPr>
          <w:color w:val="396230"/>
        </w:rPr>
        <w:t>recreation.</w:t>
      </w:r>
    </w:p>
    <w:p>
      <w:pPr>
        <w:pStyle w:val="BodyText"/>
        <w:spacing w:before="11"/>
        <w:rPr>
          <w:rFonts w:ascii="Tahoma"/>
          <w:sz w:val="23"/>
        </w:rPr>
      </w:pPr>
    </w:p>
    <w:p>
      <w:pPr>
        <w:spacing w:before="0"/>
        <w:ind w:left="1440" w:right="0" w:firstLine="0"/>
        <w:jc w:val="left"/>
        <w:rPr>
          <w:rFonts w:ascii="Verdana"/>
          <w:sz w:val="22"/>
        </w:rPr>
      </w:pPr>
      <w:r>
        <w:rPr>
          <w:rFonts w:ascii="Verdana"/>
          <w:sz w:val="22"/>
          <w:u w:val="single"/>
        </w:rPr>
        <w:t>Strategy</w:t>
      </w:r>
    </w:p>
    <w:p>
      <w:pPr>
        <w:pStyle w:val="ListParagraph"/>
        <w:numPr>
          <w:ilvl w:val="1"/>
          <w:numId w:val="12"/>
        </w:numPr>
        <w:tabs>
          <w:tab w:pos="2341" w:val="left" w:leader="none"/>
        </w:tabs>
        <w:spacing w:line="259" w:lineRule="auto" w:before="16" w:after="0"/>
        <w:ind w:left="2340" w:right="5374" w:hanging="540"/>
        <w:jc w:val="left"/>
        <w:rPr>
          <w:sz w:val="24"/>
        </w:rPr>
      </w:pPr>
      <w:r>
        <w:rPr>
          <w:sz w:val="24"/>
        </w:rPr>
        <w:t>Allow a mix of uses or uses that complement and complete existing</w:t>
      </w:r>
      <w:r>
        <w:rPr>
          <w:spacing w:val="-3"/>
          <w:sz w:val="24"/>
        </w:rPr>
        <w:t> </w:t>
      </w:r>
      <w:r>
        <w:rPr>
          <w:sz w:val="24"/>
        </w:rPr>
        <w:t>communities.</w:t>
      </w:r>
    </w:p>
    <w:p>
      <w:pPr>
        <w:spacing w:before="7"/>
        <w:ind w:left="1800" w:right="0" w:firstLine="0"/>
        <w:jc w:val="left"/>
        <w:rPr>
          <w:rFonts w:ascii="Verdana"/>
          <w:sz w:val="22"/>
        </w:rPr>
      </w:pPr>
      <w:r>
        <w:rPr>
          <w:rFonts w:ascii="Verdana"/>
          <w:sz w:val="22"/>
          <w:u w:val="single"/>
        </w:rPr>
        <w:t>Actions</w:t>
      </w:r>
    </w:p>
    <w:p>
      <w:pPr>
        <w:pStyle w:val="ListParagraph"/>
        <w:numPr>
          <w:ilvl w:val="2"/>
          <w:numId w:val="12"/>
        </w:numPr>
        <w:tabs>
          <w:tab w:pos="2521" w:val="left" w:leader="none"/>
        </w:tabs>
        <w:spacing w:line="259" w:lineRule="auto" w:before="18" w:after="0"/>
        <w:ind w:left="2520" w:right="5371" w:hanging="360"/>
        <w:jc w:val="both"/>
        <w:rPr>
          <w:sz w:val="24"/>
        </w:rPr>
      </w:pPr>
      <w:r>
        <w:rPr>
          <w:sz w:val="24"/>
        </w:rPr>
        <w:t>Provide incentives for redevelopment, infill development, and adaptive</w:t>
      </w:r>
      <w:r>
        <w:rPr>
          <w:spacing w:val="-45"/>
          <w:sz w:val="24"/>
        </w:rPr>
        <w:t> </w:t>
      </w:r>
      <w:r>
        <w:rPr>
          <w:sz w:val="24"/>
        </w:rPr>
        <w:t>reuse projects that will</w:t>
      </w:r>
      <w:r>
        <w:rPr>
          <w:spacing w:val="-8"/>
          <w:sz w:val="24"/>
        </w:rPr>
        <w:t> </w:t>
      </w:r>
      <w:r>
        <w:rPr>
          <w:sz w:val="24"/>
        </w:rPr>
        <w:t>enhance</w:t>
      </w:r>
      <w:r>
        <w:rPr>
          <w:spacing w:val="-7"/>
          <w:sz w:val="24"/>
        </w:rPr>
        <w:t> </w:t>
      </w:r>
      <w:r>
        <w:rPr>
          <w:sz w:val="24"/>
        </w:rPr>
        <w:t>quality</w:t>
      </w:r>
      <w:r>
        <w:rPr>
          <w:spacing w:val="-13"/>
          <w:sz w:val="24"/>
        </w:rPr>
        <w:t> </w:t>
      </w:r>
      <w:r>
        <w:rPr>
          <w:sz w:val="24"/>
        </w:rPr>
        <w:t>of</w:t>
      </w:r>
      <w:r>
        <w:rPr>
          <w:spacing w:val="-7"/>
          <w:sz w:val="24"/>
        </w:rPr>
        <w:t> </w:t>
      </w:r>
      <w:r>
        <w:rPr>
          <w:sz w:val="24"/>
        </w:rPr>
        <w:t>life</w:t>
      </w:r>
      <w:r>
        <w:rPr>
          <w:spacing w:val="-10"/>
          <w:sz w:val="24"/>
        </w:rPr>
        <w:t> </w:t>
      </w:r>
      <w:r>
        <w:rPr>
          <w:sz w:val="24"/>
        </w:rPr>
        <w:t>and</w:t>
      </w:r>
      <w:r>
        <w:rPr>
          <w:spacing w:val="-9"/>
          <w:sz w:val="24"/>
        </w:rPr>
        <w:t> </w:t>
      </w:r>
      <w:r>
        <w:rPr>
          <w:sz w:val="24"/>
        </w:rPr>
        <w:t>neighborhood character, fulfill community needs, and improve economic opportunities (see Infill and Redevelopment section).</w:t>
      </w:r>
    </w:p>
    <w:p>
      <w:pPr>
        <w:pStyle w:val="ListParagraph"/>
        <w:numPr>
          <w:ilvl w:val="2"/>
          <w:numId w:val="12"/>
        </w:numPr>
        <w:tabs>
          <w:tab w:pos="2521" w:val="left" w:leader="none"/>
        </w:tabs>
        <w:spacing w:line="259" w:lineRule="auto" w:before="158" w:after="0"/>
        <w:ind w:left="2520" w:right="5370" w:hanging="360"/>
        <w:jc w:val="both"/>
        <w:rPr>
          <w:sz w:val="24"/>
        </w:rPr>
      </w:pPr>
      <w:r>
        <w:rPr>
          <w:sz w:val="24"/>
        </w:rPr>
        <w:t>Allow new multi-family residential units to be</w:t>
      </w:r>
      <w:r>
        <w:rPr>
          <w:spacing w:val="-15"/>
          <w:sz w:val="24"/>
        </w:rPr>
        <w:t> </w:t>
      </w:r>
      <w:r>
        <w:rPr>
          <w:sz w:val="24"/>
        </w:rPr>
        <w:t>located</w:t>
      </w:r>
      <w:r>
        <w:rPr>
          <w:spacing w:val="-13"/>
          <w:sz w:val="24"/>
        </w:rPr>
        <w:t> </w:t>
      </w:r>
      <w:r>
        <w:rPr>
          <w:sz w:val="24"/>
        </w:rPr>
        <w:t>within</w:t>
      </w:r>
      <w:r>
        <w:rPr>
          <w:spacing w:val="-14"/>
          <w:sz w:val="24"/>
        </w:rPr>
        <w:t> </w:t>
      </w:r>
      <w:r>
        <w:rPr>
          <w:sz w:val="24"/>
        </w:rPr>
        <w:t>existing</w:t>
      </w:r>
      <w:r>
        <w:rPr>
          <w:spacing w:val="-16"/>
          <w:sz w:val="24"/>
        </w:rPr>
        <w:t> </w:t>
      </w:r>
      <w:r>
        <w:rPr>
          <w:sz w:val="24"/>
        </w:rPr>
        <w:t>commercial</w:t>
      </w:r>
      <w:r>
        <w:rPr>
          <w:spacing w:val="-12"/>
          <w:sz w:val="24"/>
        </w:rPr>
        <w:t> </w:t>
      </w:r>
      <w:r>
        <w:rPr>
          <w:sz w:val="24"/>
        </w:rPr>
        <w:t>centers to allow for more walkable, mixed use communities</w:t>
      </w:r>
    </w:p>
    <w:p>
      <w:pPr>
        <w:pStyle w:val="ListParagraph"/>
        <w:numPr>
          <w:ilvl w:val="2"/>
          <w:numId w:val="12"/>
        </w:numPr>
        <w:tabs>
          <w:tab w:pos="2521" w:val="left" w:leader="none"/>
        </w:tabs>
        <w:spacing w:line="256" w:lineRule="auto" w:before="159" w:after="0"/>
        <w:ind w:left="2520" w:right="5373" w:hanging="360"/>
        <w:jc w:val="both"/>
        <w:rPr>
          <w:sz w:val="24"/>
        </w:rPr>
      </w:pPr>
      <w:r>
        <w:rPr>
          <w:sz w:val="24"/>
        </w:rPr>
        <w:t>Promote residential and office uses above first floor</w:t>
      </w:r>
      <w:r>
        <w:rPr>
          <w:spacing w:val="-1"/>
          <w:sz w:val="24"/>
        </w:rPr>
        <w:t> </w:t>
      </w:r>
      <w:r>
        <w:rPr>
          <w:sz w:val="24"/>
        </w:rPr>
        <w:t>retail.</w:t>
      </w:r>
    </w:p>
    <w:p>
      <w:pPr>
        <w:pStyle w:val="ListParagraph"/>
        <w:numPr>
          <w:ilvl w:val="2"/>
          <w:numId w:val="12"/>
        </w:numPr>
        <w:tabs>
          <w:tab w:pos="2521" w:val="left" w:leader="none"/>
        </w:tabs>
        <w:spacing w:line="240" w:lineRule="auto" w:before="166" w:after="0"/>
        <w:ind w:left="2520" w:right="0" w:hanging="360"/>
        <w:jc w:val="left"/>
        <w:rPr>
          <w:sz w:val="24"/>
        </w:rPr>
      </w:pPr>
      <w:r>
        <w:rPr>
          <w:sz w:val="24"/>
        </w:rPr>
        <w:t>Allow flexibility in the development</w:t>
      </w:r>
      <w:r>
        <w:rPr>
          <w:spacing w:val="23"/>
          <w:sz w:val="24"/>
        </w:rPr>
        <w:t> </w:t>
      </w:r>
      <w:r>
        <w:rPr>
          <w:sz w:val="24"/>
        </w:rPr>
        <w:t>phasing</w:t>
      </w:r>
    </w:p>
    <w:p>
      <w:pPr>
        <w:pStyle w:val="BodyText"/>
        <w:spacing w:line="256" w:lineRule="auto" w:before="21"/>
        <w:ind w:left="2520" w:right="1436"/>
        <w:jc w:val="both"/>
      </w:pPr>
      <w:r>
        <w:rPr/>
        <w:t>for mixed-use projects while establishing a build-out relationship between the residential and non-residential components that ensures a mix of uses is achieved and to best balance the fiscal costs and benefits of the project.</w:t>
      </w:r>
    </w:p>
    <w:p>
      <w:pPr>
        <w:spacing w:after="0" w:line="256" w:lineRule="auto"/>
        <w:jc w:val="both"/>
        <w:sectPr>
          <w:pgSz w:w="12240" w:h="15840"/>
          <w:pgMar w:header="719" w:footer="443" w:top="920" w:bottom="740" w:left="0" w:right="0"/>
        </w:sectPr>
      </w:pPr>
    </w:p>
    <w:p>
      <w:pPr>
        <w:pStyle w:val="BodyText"/>
        <w:rPr>
          <w:sz w:val="20"/>
        </w:rPr>
      </w:pPr>
    </w:p>
    <w:p>
      <w:pPr>
        <w:pStyle w:val="BodyText"/>
        <w:rPr>
          <w:sz w:val="23"/>
        </w:rPr>
      </w:pPr>
    </w:p>
    <w:p>
      <w:pPr>
        <w:pStyle w:val="ListParagraph"/>
        <w:numPr>
          <w:ilvl w:val="2"/>
          <w:numId w:val="12"/>
        </w:numPr>
        <w:tabs>
          <w:tab w:pos="2521" w:val="left" w:leader="none"/>
        </w:tabs>
        <w:spacing w:line="256" w:lineRule="auto" w:before="0" w:after="0"/>
        <w:ind w:left="2520" w:right="1436" w:hanging="360"/>
        <w:jc w:val="both"/>
        <w:rPr>
          <w:sz w:val="24"/>
        </w:rPr>
      </w:pPr>
      <w:r>
        <w:rPr>
          <w:sz w:val="24"/>
        </w:rPr>
        <w:t>Promote high quality site and building design, landscape design and buffering in employment areas that reflect their function as a gateway to the Urban Policy Areas and location along major vehicular thoroughfares (see Quality Development</w:t>
      </w:r>
      <w:r>
        <w:rPr>
          <w:spacing w:val="-11"/>
          <w:sz w:val="24"/>
        </w:rPr>
        <w:t> </w:t>
      </w:r>
      <w:r>
        <w:rPr>
          <w:sz w:val="24"/>
        </w:rPr>
        <w:t>section).</w:t>
      </w:r>
    </w:p>
    <w:p>
      <w:pPr>
        <w:pStyle w:val="ListParagraph"/>
        <w:numPr>
          <w:ilvl w:val="2"/>
          <w:numId w:val="12"/>
        </w:numPr>
        <w:tabs>
          <w:tab w:pos="2521" w:val="left" w:leader="none"/>
        </w:tabs>
        <w:spacing w:line="240" w:lineRule="auto" w:before="168" w:after="0"/>
        <w:ind w:left="2520" w:right="0" w:hanging="360"/>
        <w:jc w:val="left"/>
        <w:rPr>
          <w:sz w:val="24"/>
        </w:rPr>
      </w:pPr>
      <w:r>
        <w:rPr>
          <w:sz w:val="24"/>
        </w:rPr>
        <w:t>Accommodate</w:t>
      </w:r>
      <w:r>
        <w:rPr>
          <w:spacing w:val="18"/>
          <w:sz w:val="24"/>
        </w:rPr>
        <w:t> </w:t>
      </w:r>
      <w:r>
        <w:rPr>
          <w:sz w:val="24"/>
        </w:rPr>
        <w:t>transit</w:t>
      </w:r>
      <w:r>
        <w:rPr>
          <w:spacing w:val="20"/>
          <w:sz w:val="24"/>
        </w:rPr>
        <w:t> </w:t>
      </w:r>
      <w:r>
        <w:rPr>
          <w:sz w:val="24"/>
        </w:rPr>
        <w:t>infrastructure</w:t>
      </w:r>
      <w:r>
        <w:rPr>
          <w:spacing w:val="18"/>
          <w:sz w:val="24"/>
        </w:rPr>
        <w:t> </w:t>
      </w:r>
      <w:r>
        <w:rPr>
          <w:sz w:val="24"/>
        </w:rPr>
        <w:t>in</w:t>
      </w:r>
      <w:r>
        <w:rPr>
          <w:spacing w:val="20"/>
          <w:sz w:val="24"/>
        </w:rPr>
        <w:t> </w:t>
      </w:r>
      <w:r>
        <w:rPr>
          <w:sz w:val="24"/>
        </w:rPr>
        <w:t>Employment</w:t>
      </w:r>
      <w:r>
        <w:rPr>
          <w:spacing w:val="23"/>
          <w:sz w:val="24"/>
        </w:rPr>
        <w:t> </w:t>
      </w:r>
      <w:r>
        <w:rPr>
          <w:sz w:val="24"/>
        </w:rPr>
        <w:t>and</w:t>
      </w:r>
      <w:r>
        <w:rPr>
          <w:spacing w:val="20"/>
          <w:sz w:val="24"/>
        </w:rPr>
        <w:t> </w:t>
      </w:r>
      <w:r>
        <w:rPr>
          <w:sz w:val="24"/>
        </w:rPr>
        <w:t>Mixed</w:t>
      </w:r>
      <w:r>
        <w:rPr>
          <w:spacing w:val="20"/>
          <w:sz w:val="24"/>
        </w:rPr>
        <w:t> </w:t>
      </w:r>
      <w:r>
        <w:rPr>
          <w:sz w:val="24"/>
        </w:rPr>
        <w:t>Use</w:t>
      </w:r>
      <w:r>
        <w:rPr>
          <w:spacing w:val="16"/>
          <w:sz w:val="24"/>
        </w:rPr>
        <w:t> </w:t>
      </w:r>
      <w:r>
        <w:rPr>
          <w:sz w:val="24"/>
        </w:rPr>
        <w:t>Areas</w:t>
      </w:r>
      <w:r>
        <w:rPr>
          <w:spacing w:val="20"/>
          <w:sz w:val="24"/>
        </w:rPr>
        <w:t> </w:t>
      </w:r>
      <w:r>
        <w:rPr>
          <w:sz w:val="24"/>
        </w:rPr>
        <w:t>(see</w:t>
      </w:r>
    </w:p>
    <w:p>
      <w:pPr>
        <w:spacing w:before="19"/>
        <w:ind w:left="2520" w:right="0" w:firstLine="0"/>
        <w:jc w:val="left"/>
        <w:rPr>
          <w:sz w:val="24"/>
        </w:rPr>
      </w:pPr>
      <w:r>
        <w:rPr>
          <w:i/>
          <w:sz w:val="24"/>
        </w:rPr>
        <w:t>Loudoun 2040 Countywide Transportation Plan</w:t>
      </w:r>
      <w:r>
        <w:rPr>
          <w:sz w:val="24"/>
        </w:rPr>
        <w:t>).</w:t>
      </w:r>
    </w:p>
    <w:p>
      <w:pPr>
        <w:pStyle w:val="ListParagraph"/>
        <w:numPr>
          <w:ilvl w:val="2"/>
          <w:numId w:val="12"/>
        </w:numPr>
        <w:tabs>
          <w:tab w:pos="2521" w:val="left" w:leader="none"/>
        </w:tabs>
        <w:spacing w:line="256" w:lineRule="auto" w:before="185" w:after="0"/>
        <w:ind w:left="2520" w:right="1437" w:hanging="360"/>
        <w:jc w:val="both"/>
        <w:rPr>
          <w:sz w:val="24"/>
        </w:rPr>
      </w:pPr>
      <w:r>
        <w:rPr/>
        <w:pict>
          <v:shape style="position:absolute;margin-left:90.066002pt;margin-top:33.543114pt;width:395.3pt;height:419pt;mso-position-horizontal-relative:page;mso-position-vertical-relative:paragraph;z-index:-29800" coordorigin="1801,671" coordsize="7906,8380" path="m4498,7935l4492,7861,4477,7783,4455,7700,4432,7631,4402,7559,4367,7484,4325,7406,4276,7325,4236,7266,4200,7216,4200,7901,4197,7958,4185,8014,4167,8072,4138,8132,4097,8194,4044,8260,3979,8330,3674,8635,2216,7177,2517,6877,2598,6801,2672,6741,2740,6697,2801,6671,2868,6656,2941,6652,3020,6659,3105,6677,3195,6706,3255,6732,3317,6764,3380,6802,3446,6847,3514,6899,3584,6957,3656,7022,3729,7093,3789,7155,3844,7215,3896,7274,3943,7332,3986,7388,4024,7444,4059,7497,4101,7572,4136,7644,4163,7714,4183,7781,4196,7845,4200,7901,4200,7216,4194,7207,4148,7147,4098,7086,4045,7025,3989,6964,3929,6902,3865,6840,3801,6781,3737,6726,3673,6675,3643,6652,3609,6627,3546,6582,3482,6541,3419,6503,3346,6466,3274,6433,3203,6406,3132,6384,3062,6367,2992,6355,2923,6348,2850,6346,2779,6353,2709,6368,2642,6391,2577,6421,2528,6449,2476,6486,2420,6532,2359,6586,2294,6649,1801,7142,3710,9050,4124,8635,4226,8533,4287,8468,4341,8403,4386,8337,4424,8270,4454,8204,4476,8138,4491,8071,4498,8003,4498,7935m6418,6341l6056,6214,5650,6071,5561,6042,5475,6018,5393,5999,5364,5993,5314,5984,5239,5974,5193,5973,5143,5976,5089,5983,5030,5993,5074,5924,5109,5854,5136,5785,5154,5716,5164,5648,5165,5580,5157,5512,5139,5434,5111,5358,5075,5283,5030,5210,4976,5140,4956,5117,4913,5071,4872,5033,4872,5590,4868,5646,4854,5701,4830,5757,4794,5816,4747,5877,4687,5940,4413,6214,4280,6347,3649,5716,4102,5263,4166,5206,4229,5163,4293,5133,4358,5118,4422,5117,4501,5132,4577,5162,4649,5207,4718,5266,4761,5314,4797,5365,4827,5418,4851,5475,4867,5533,4872,5590,4872,5033,4849,5011,4782,4959,4713,4914,4641,4875,4566,4843,4474,4815,4386,4802,4303,4804,4225,4820,4163,4845,4098,4881,4030,4929,3958,4989,3883,5060,3248,5695,5157,7603,5346,7413,4499,6566,4718,6347,4753,6313,4783,6285,4810,6264,4833,6250,4863,6236,4896,6226,4932,6218,4971,6214,5014,6214,5066,6219,5125,6229,5194,6246,5256,6263,5328,6284,5407,6309,5496,6338,6180,6579,6418,6341m7780,4979l7415,4784,6555,4330,6555,4637,6070,5122,5989,4979,5748,4548,5708,4477,5668,4405,5629,4340,5590,4275,5550,4211,5509,4148,5467,4086,5424,4024,5380,3964,5436,3999,5498,4037,5564,4077,5635,4119,5792,4210,6555,4637,6555,4330,5862,3964,5286,3657,5082,3861,5277,4211,5316,4282,5701,4979,6168,5828,6441,6319,6642,6118,6565,5984,6298,5516,6221,5382,6481,5122,6820,4784,7565,5195,7780,4979m8131,4629l7264,3762,7489,3536,7936,3090,7711,2865,7039,3536,6448,2946,7224,2169,6999,1944,6033,2910,7941,4818,8131,4629m9707,3053l8213,1559,8024,1370,8497,896,8272,671,7138,1805,7363,2031,7834,1559,9517,3242,9707,3053e" filled="true" fillcolor="#c0c0c0" stroked="false">
            <v:path arrowok="t"/>
            <v:fill opacity="32896f" type="solid"/>
            <w10:wrap type="none"/>
          </v:shape>
        </w:pict>
      </w:r>
      <w:r>
        <w:rPr>
          <w:sz w:val="24"/>
        </w:rPr>
        <w:t>Provide pedestrian and bicycle connectivity to surrounding networks and transit</w:t>
      </w:r>
      <w:r>
        <w:rPr>
          <w:spacing w:val="-22"/>
          <w:sz w:val="24"/>
        </w:rPr>
        <w:t> </w:t>
      </w:r>
      <w:r>
        <w:rPr>
          <w:sz w:val="24"/>
        </w:rPr>
        <w:t>nodes within employment</w:t>
      </w:r>
      <w:r>
        <w:rPr>
          <w:spacing w:val="-1"/>
          <w:sz w:val="24"/>
        </w:rPr>
        <w:t> </w:t>
      </w:r>
      <w:r>
        <w:rPr>
          <w:sz w:val="24"/>
        </w:rPr>
        <w:t>areas.</w:t>
      </w:r>
    </w:p>
    <w:p>
      <w:pPr>
        <w:pStyle w:val="Heading4"/>
        <w:spacing w:line="249" w:lineRule="auto" w:before="121"/>
        <w:ind w:right="1439"/>
        <w:jc w:val="both"/>
      </w:pPr>
      <w:r>
        <w:rPr>
          <w:color w:val="396230"/>
          <w:w w:val="95"/>
        </w:rPr>
        <w:t>SPA</w:t>
      </w:r>
      <w:r>
        <w:rPr>
          <w:color w:val="396230"/>
          <w:spacing w:val="-36"/>
          <w:w w:val="95"/>
        </w:rPr>
        <w:t> </w:t>
      </w:r>
      <w:r>
        <w:rPr>
          <w:color w:val="396230"/>
          <w:w w:val="95"/>
        </w:rPr>
        <w:t>Policy</w:t>
      </w:r>
      <w:r>
        <w:rPr>
          <w:color w:val="396230"/>
          <w:spacing w:val="-35"/>
          <w:w w:val="95"/>
        </w:rPr>
        <w:t> </w:t>
      </w:r>
      <w:r>
        <w:rPr>
          <w:color w:val="396230"/>
          <w:w w:val="95"/>
        </w:rPr>
        <w:t>3:</w:t>
      </w:r>
      <w:r>
        <w:rPr>
          <w:color w:val="396230"/>
          <w:spacing w:val="-33"/>
          <w:w w:val="95"/>
        </w:rPr>
        <w:t> </w:t>
      </w:r>
      <w:r>
        <w:rPr>
          <w:color w:val="396230"/>
          <w:w w:val="95"/>
        </w:rPr>
        <w:t>Support</w:t>
      </w:r>
      <w:r>
        <w:rPr>
          <w:color w:val="396230"/>
          <w:spacing w:val="-33"/>
          <w:w w:val="95"/>
        </w:rPr>
        <w:t> </w:t>
      </w:r>
      <w:r>
        <w:rPr>
          <w:color w:val="396230"/>
          <w:w w:val="95"/>
        </w:rPr>
        <w:t>the</w:t>
      </w:r>
      <w:r>
        <w:rPr>
          <w:color w:val="396230"/>
          <w:spacing w:val="-34"/>
          <w:w w:val="95"/>
        </w:rPr>
        <w:t> </w:t>
      </w:r>
      <w:r>
        <w:rPr>
          <w:color w:val="396230"/>
          <w:w w:val="95"/>
        </w:rPr>
        <w:t>Route</w:t>
      </w:r>
      <w:r>
        <w:rPr>
          <w:color w:val="396230"/>
          <w:spacing w:val="-36"/>
          <w:w w:val="95"/>
        </w:rPr>
        <w:t> </w:t>
      </w:r>
      <w:r>
        <w:rPr>
          <w:color w:val="396230"/>
          <w:w w:val="95"/>
        </w:rPr>
        <w:t>28</w:t>
      </w:r>
      <w:r>
        <w:rPr>
          <w:color w:val="396230"/>
          <w:spacing w:val="-32"/>
          <w:w w:val="95"/>
        </w:rPr>
        <w:t> </w:t>
      </w:r>
      <w:r>
        <w:rPr>
          <w:color w:val="396230"/>
          <w:w w:val="95"/>
        </w:rPr>
        <w:t>Highway</w:t>
      </w:r>
      <w:r>
        <w:rPr>
          <w:color w:val="396230"/>
          <w:spacing w:val="-33"/>
          <w:w w:val="95"/>
        </w:rPr>
        <w:t> </w:t>
      </w:r>
      <w:r>
        <w:rPr>
          <w:color w:val="396230"/>
          <w:w w:val="95"/>
        </w:rPr>
        <w:t>Transportation</w:t>
      </w:r>
      <w:r>
        <w:rPr>
          <w:color w:val="396230"/>
          <w:spacing w:val="-33"/>
          <w:w w:val="95"/>
        </w:rPr>
        <w:t> </w:t>
      </w:r>
      <w:r>
        <w:rPr>
          <w:color w:val="396230"/>
          <w:w w:val="95"/>
        </w:rPr>
        <w:t>Improvement</w:t>
      </w:r>
      <w:r>
        <w:rPr>
          <w:color w:val="396230"/>
          <w:spacing w:val="-36"/>
          <w:w w:val="95"/>
        </w:rPr>
        <w:t> </w:t>
      </w:r>
      <w:r>
        <w:rPr>
          <w:color w:val="396230"/>
          <w:w w:val="95"/>
        </w:rPr>
        <w:t>District, established</w:t>
      </w:r>
      <w:r>
        <w:rPr>
          <w:color w:val="396230"/>
          <w:spacing w:val="-35"/>
          <w:w w:val="95"/>
        </w:rPr>
        <w:t> </w:t>
      </w:r>
      <w:r>
        <w:rPr>
          <w:color w:val="396230"/>
          <w:w w:val="95"/>
        </w:rPr>
        <w:t>by</w:t>
      </w:r>
      <w:r>
        <w:rPr>
          <w:color w:val="396230"/>
          <w:spacing w:val="-34"/>
          <w:w w:val="95"/>
        </w:rPr>
        <w:t> </w:t>
      </w:r>
      <w:r>
        <w:rPr>
          <w:color w:val="396230"/>
          <w:w w:val="95"/>
        </w:rPr>
        <w:t>the</w:t>
      </w:r>
      <w:r>
        <w:rPr>
          <w:color w:val="396230"/>
          <w:spacing w:val="-34"/>
          <w:w w:val="95"/>
        </w:rPr>
        <w:t> </w:t>
      </w:r>
      <w:r>
        <w:rPr>
          <w:color w:val="396230"/>
          <w:w w:val="95"/>
        </w:rPr>
        <w:t>State</w:t>
      </w:r>
      <w:r>
        <w:rPr>
          <w:color w:val="396230"/>
          <w:spacing w:val="-32"/>
          <w:w w:val="95"/>
        </w:rPr>
        <w:t> </w:t>
      </w:r>
      <w:r>
        <w:rPr>
          <w:color w:val="396230"/>
          <w:w w:val="95"/>
        </w:rPr>
        <w:t>as</w:t>
      </w:r>
      <w:r>
        <w:rPr>
          <w:color w:val="396230"/>
          <w:spacing w:val="-34"/>
          <w:w w:val="95"/>
        </w:rPr>
        <w:t> </w:t>
      </w:r>
      <w:r>
        <w:rPr>
          <w:color w:val="396230"/>
          <w:w w:val="95"/>
        </w:rPr>
        <w:t>a</w:t>
      </w:r>
      <w:r>
        <w:rPr>
          <w:color w:val="396230"/>
          <w:spacing w:val="-34"/>
          <w:w w:val="95"/>
        </w:rPr>
        <w:t> </w:t>
      </w:r>
      <w:r>
        <w:rPr>
          <w:color w:val="396230"/>
          <w:w w:val="95"/>
        </w:rPr>
        <w:t>means</w:t>
      </w:r>
      <w:r>
        <w:rPr>
          <w:color w:val="396230"/>
          <w:spacing w:val="-36"/>
          <w:w w:val="95"/>
        </w:rPr>
        <w:t> </w:t>
      </w:r>
      <w:r>
        <w:rPr>
          <w:color w:val="396230"/>
          <w:w w:val="95"/>
        </w:rPr>
        <w:t>of</w:t>
      </w:r>
      <w:r>
        <w:rPr>
          <w:color w:val="396230"/>
          <w:spacing w:val="-34"/>
          <w:w w:val="95"/>
        </w:rPr>
        <w:t> </w:t>
      </w:r>
      <w:r>
        <w:rPr>
          <w:color w:val="396230"/>
          <w:w w:val="95"/>
        </w:rPr>
        <w:t>providing</w:t>
      </w:r>
      <w:r>
        <w:rPr>
          <w:color w:val="396230"/>
          <w:spacing w:val="-34"/>
          <w:w w:val="95"/>
        </w:rPr>
        <w:t> </w:t>
      </w:r>
      <w:r>
        <w:rPr>
          <w:color w:val="396230"/>
          <w:w w:val="95"/>
        </w:rPr>
        <w:t>additional</w:t>
      </w:r>
      <w:r>
        <w:rPr>
          <w:color w:val="396230"/>
          <w:spacing w:val="-33"/>
          <w:w w:val="95"/>
        </w:rPr>
        <w:t> </w:t>
      </w:r>
      <w:r>
        <w:rPr>
          <w:color w:val="396230"/>
          <w:w w:val="95"/>
        </w:rPr>
        <w:t>local</w:t>
      </w:r>
      <w:r>
        <w:rPr>
          <w:color w:val="396230"/>
          <w:spacing w:val="-34"/>
          <w:w w:val="95"/>
        </w:rPr>
        <w:t> </w:t>
      </w:r>
      <w:r>
        <w:rPr>
          <w:color w:val="396230"/>
          <w:w w:val="95"/>
        </w:rPr>
        <w:t>revenue</w:t>
      </w:r>
      <w:r>
        <w:rPr>
          <w:color w:val="396230"/>
          <w:spacing w:val="-34"/>
          <w:w w:val="95"/>
        </w:rPr>
        <w:t> </w:t>
      </w:r>
      <w:r>
        <w:rPr>
          <w:color w:val="396230"/>
          <w:w w:val="95"/>
        </w:rPr>
        <w:t>to</w:t>
      </w:r>
      <w:r>
        <w:rPr>
          <w:color w:val="396230"/>
          <w:spacing w:val="-33"/>
          <w:w w:val="95"/>
        </w:rPr>
        <w:t> </w:t>
      </w:r>
      <w:r>
        <w:rPr>
          <w:color w:val="396230"/>
          <w:w w:val="95"/>
        </w:rPr>
        <w:t>pay</w:t>
      </w:r>
      <w:r>
        <w:rPr>
          <w:color w:val="396230"/>
          <w:spacing w:val="-33"/>
          <w:w w:val="95"/>
        </w:rPr>
        <w:t> </w:t>
      </w:r>
      <w:r>
        <w:rPr>
          <w:color w:val="396230"/>
          <w:w w:val="95"/>
        </w:rPr>
        <w:t>for </w:t>
      </w:r>
      <w:r>
        <w:rPr>
          <w:color w:val="396230"/>
        </w:rPr>
        <w:t>improvements to Route</w:t>
      </w:r>
      <w:r>
        <w:rPr>
          <w:color w:val="396230"/>
          <w:spacing w:val="-39"/>
        </w:rPr>
        <w:t> </w:t>
      </w:r>
      <w:r>
        <w:rPr>
          <w:color w:val="396230"/>
        </w:rPr>
        <w:t>28.</w:t>
      </w:r>
    </w:p>
    <w:p>
      <w:pPr>
        <w:pStyle w:val="BodyText"/>
        <w:rPr>
          <w:rFonts w:ascii="Tahoma"/>
        </w:rPr>
      </w:pPr>
    </w:p>
    <w:p>
      <w:pPr>
        <w:spacing w:before="0"/>
        <w:ind w:left="1440" w:right="0" w:firstLine="0"/>
        <w:jc w:val="left"/>
        <w:rPr>
          <w:rFonts w:ascii="Verdana"/>
          <w:sz w:val="22"/>
        </w:rPr>
      </w:pPr>
      <w:r>
        <w:rPr>
          <w:rFonts w:ascii="Verdana"/>
          <w:sz w:val="22"/>
          <w:u w:val="single"/>
        </w:rPr>
        <w:t>Strategy</w:t>
      </w:r>
    </w:p>
    <w:p>
      <w:pPr>
        <w:pStyle w:val="ListParagraph"/>
        <w:numPr>
          <w:ilvl w:val="1"/>
          <w:numId w:val="13"/>
        </w:numPr>
        <w:tabs>
          <w:tab w:pos="2252" w:val="left" w:leader="none"/>
        </w:tabs>
        <w:spacing w:line="259" w:lineRule="auto" w:before="15" w:after="0"/>
        <w:ind w:left="2251" w:right="1433" w:hanging="451"/>
        <w:jc w:val="both"/>
        <w:rPr>
          <w:sz w:val="24"/>
        </w:rPr>
      </w:pPr>
      <w:r>
        <w:rPr>
          <w:sz w:val="24"/>
        </w:rPr>
        <w:t>Ensure protection of the</w:t>
      </w:r>
      <w:r>
        <w:rPr>
          <w:color w:val="006FC0"/>
          <w:sz w:val="24"/>
        </w:rPr>
        <w:t> </w:t>
      </w:r>
      <w:r>
        <w:rPr>
          <w:i/>
          <w:color w:val="006FC0"/>
          <w:sz w:val="24"/>
          <w:u w:val="single" w:color="006FC0"/>
        </w:rPr>
        <w:t>Route 28 Highway Transportation Improvement District</w:t>
      </w:r>
      <w:r>
        <w:rPr>
          <w:i/>
          <w:color w:val="006FC0"/>
          <w:sz w:val="24"/>
        </w:rPr>
        <w:t> </w:t>
      </w:r>
      <w:r>
        <w:rPr>
          <w:sz w:val="24"/>
        </w:rPr>
        <w:t>as an important economic key of attracting major national and international corporations, and ensuring the long-term viability of Washington Dulles International</w:t>
      </w:r>
      <w:r>
        <w:rPr>
          <w:spacing w:val="-8"/>
          <w:sz w:val="24"/>
        </w:rPr>
        <w:t> </w:t>
      </w:r>
      <w:r>
        <w:rPr>
          <w:sz w:val="24"/>
        </w:rPr>
        <w:t>Airport.</w:t>
      </w:r>
    </w:p>
    <w:p>
      <w:pPr>
        <w:spacing w:before="86"/>
        <w:ind w:left="1800" w:right="0" w:firstLine="0"/>
        <w:jc w:val="left"/>
        <w:rPr>
          <w:rFonts w:ascii="Verdana"/>
          <w:sz w:val="22"/>
        </w:rPr>
      </w:pPr>
      <w:r>
        <w:rPr>
          <w:rFonts w:ascii="Verdana"/>
          <w:sz w:val="22"/>
          <w:u w:val="single"/>
        </w:rPr>
        <w:t>Actions</w:t>
      </w:r>
    </w:p>
    <w:p>
      <w:pPr>
        <w:pStyle w:val="ListParagraph"/>
        <w:numPr>
          <w:ilvl w:val="2"/>
          <w:numId w:val="13"/>
        </w:numPr>
        <w:tabs>
          <w:tab w:pos="2521" w:val="left" w:leader="none"/>
        </w:tabs>
        <w:spacing w:line="259" w:lineRule="auto" w:before="17" w:after="0"/>
        <w:ind w:left="2520" w:right="1436" w:hanging="360"/>
        <w:jc w:val="both"/>
        <w:rPr>
          <w:sz w:val="24"/>
        </w:rPr>
      </w:pPr>
      <w:r>
        <w:rPr>
          <w:sz w:val="24"/>
        </w:rPr>
        <w:t>Limit residential development in the</w:t>
      </w:r>
      <w:r>
        <w:rPr>
          <w:color w:val="006FC0"/>
          <w:sz w:val="24"/>
        </w:rPr>
        <w:t> </w:t>
      </w:r>
      <w:r>
        <w:rPr>
          <w:i/>
          <w:color w:val="006FC0"/>
          <w:sz w:val="24"/>
          <w:u w:val="single" w:color="006FC0"/>
        </w:rPr>
        <w:t>Route 28 Highway Transportation Improvement </w:t>
      </w:r>
      <w:r>
        <w:rPr>
          <w:i/>
          <w:color w:val="006FC0"/>
          <w:sz w:val="24"/>
          <w:u w:val="single" w:color="006FC0"/>
        </w:rPr>
        <w:t>District</w:t>
      </w:r>
      <w:r>
        <w:rPr>
          <w:i/>
          <w:color w:val="006FC0"/>
          <w:sz w:val="24"/>
        </w:rPr>
        <w:t> </w:t>
      </w:r>
      <w:r>
        <w:rPr>
          <w:sz w:val="24"/>
        </w:rPr>
        <w:t>except when allowing residential units will directly catalyze the office development potential of land in the District and result in an overall positive fiscal impact to the County’s Route 28 Highway Transportation Improvement District debt obligations.</w:t>
      </w:r>
    </w:p>
    <w:p>
      <w:pPr>
        <w:pStyle w:val="ListParagraph"/>
        <w:numPr>
          <w:ilvl w:val="2"/>
          <w:numId w:val="13"/>
        </w:numPr>
        <w:tabs>
          <w:tab w:pos="2521" w:val="left" w:leader="none"/>
        </w:tabs>
        <w:spacing w:line="256" w:lineRule="auto" w:before="159" w:after="0"/>
        <w:ind w:left="2520" w:right="1444" w:hanging="360"/>
        <w:jc w:val="both"/>
        <w:rPr>
          <w:sz w:val="24"/>
        </w:rPr>
      </w:pPr>
      <w:r>
        <w:rPr>
          <w:sz w:val="24"/>
        </w:rPr>
        <w:t>Consider residential development on a case by case basis that results in a net positive impact to the County.</w:t>
      </w:r>
    </w:p>
    <w:p>
      <w:pPr>
        <w:pStyle w:val="Heading2"/>
        <w:spacing w:before="174"/>
      </w:pPr>
      <w:r>
        <w:rPr>
          <w:w w:val="95"/>
        </w:rPr>
        <w:t>Design Guidelines</w:t>
      </w:r>
    </w:p>
    <w:p>
      <w:pPr>
        <w:pStyle w:val="BodyText"/>
        <w:spacing w:line="259" w:lineRule="auto" w:before="25"/>
        <w:ind w:left="1440" w:right="1434"/>
        <w:jc w:val="both"/>
      </w:pPr>
      <w:r>
        <w:rPr/>
        <w:t>The</w:t>
      </w:r>
      <w:r>
        <w:rPr>
          <w:spacing w:val="-7"/>
        </w:rPr>
        <w:t> </w:t>
      </w:r>
      <w:r>
        <w:rPr/>
        <w:t>Design</w:t>
      </w:r>
      <w:r>
        <w:rPr>
          <w:spacing w:val="-6"/>
        </w:rPr>
        <w:t> </w:t>
      </w:r>
      <w:r>
        <w:rPr/>
        <w:t>Guidelines</w:t>
      </w:r>
      <w:r>
        <w:rPr>
          <w:spacing w:val="-6"/>
        </w:rPr>
        <w:t> </w:t>
      </w:r>
      <w:r>
        <w:rPr/>
        <w:t>are</w:t>
      </w:r>
      <w:r>
        <w:rPr>
          <w:spacing w:val="-7"/>
        </w:rPr>
        <w:t> </w:t>
      </w:r>
      <w:r>
        <w:rPr/>
        <w:t>to</w:t>
      </w:r>
      <w:r>
        <w:rPr>
          <w:spacing w:val="-6"/>
        </w:rPr>
        <w:t> </w:t>
      </w:r>
      <w:r>
        <w:rPr/>
        <w:t>build</w:t>
      </w:r>
      <w:r>
        <w:rPr>
          <w:spacing w:val="-6"/>
        </w:rPr>
        <w:t> </w:t>
      </w:r>
      <w:r>
        <w:rPr/>
        <w:t>upon</w:t>
      </w:r>
      <w:r>
        <w:rPr>
          <w:spacing w:val="-9"/>
        </w:rPr>
        <w:t> </w:t>
      </w:r>
      <w:r>
        <w:rPr/>
        <w:t>our</w:t>
      </w:r>
      <w:r>
        <w:rPr>
          <w:spacing w:val="-7"/>
        </w:rPr>
        <w:t> </w:t>
      </w:r>
      <w:r>
        <w:rPr/>
        <w:t>current</w:t>
      </w:r>
      <w:r>
        <w:rPr>
          <w:spacing w:val="-4"/>
        </w:rPr>
        <w:t> </w:t>
      </w:r>
      <w:r>
        <w:rPr/>
        <w:t>development</w:t>
      </w:r>
      <w:r>
        <w:rPr>
          <w:spacing w:val="-6"/>
        </w:rPr>
        <w:t> </w:t>
      </w:r>
      <w:r>
        <w:rPr/>
        <w:t>patterns</w:t>
      </w:r>
      <w:r>
        <w:rPr>
          <w:spacing w:val="-6"/>
        </w:rPr>
        <w:t> </w:t>
      </w:r>
      <w:r>
        <w:rPr/>
        <w:t>in</w:t>
      </w:r>
      <w:r>
        <w:rPr>
          <w:spacing w:val="-6"/>
        </w:rPr>
        <w:t> </w:t>
      </w:r>
      <w:r>
        <w:rPr/>
        <w:t>a</w:t>
      </w:r>
      <w:r>
        <w:rPr>
          <w:spacing w:val="-7"/>
        </w:rPr>
        <w:t> </w:t>
      </w:r>
      <w:r>
        <w:rPr/>
        <w:t>manner</w:t>
      </w:r>
      <w:r>
        <w:rPr>
          <w:spacing w:val="-7"/>
        </w:rPr>
        <w:t> </w:t>
      </w:r>
      <w:r>
        <w:rPr/>
        <w:t>that</w:t>
      </w:r>
      <w:r>
        <w:rPr>
          <w:spacing w:val="-6"/>
        </w:rPr>
        <w:t> </w:t>
      </w:r>
      <w:r>
        <w:rPr/>
        <w:t>allows innovative</w:t>
      </w:r>
      <w:r>
        <w:rPr>
          <w:spacing w:val="-16"/>
        </w:rPr>
        <w:t> </w:t>
      </w:r>
      <w:r>
        <w:rPr/>
        <w:t>design</w:t>
      </w:r>
      <w:r>
        <w:rPr>
          <w:spacing w:val="-16"/>
        </w:rPr>
        <w:t> </w:t>
      </w:r>
      <w:r>
        <w:rPr/>
        <w:t>and</w:t>
      </w:r>
      <w:r>
        <w:rPr>
          <w:spacing w:val="-14"/>
        </w:rPr>
        <w:t> </w:t>
      </w:r>
      <w:r>
        <w:rPr/>
        <w:t>new</w:t>
      </w:r>
      <w:r>
        <w:rPr>
          <w:spacing w:val="-16"/>
        </w:rPr>
        <w:t> </w:t>
      </w:r>
      <w:r>
        <w:rPr/>
        <w:t>responses</w:t>
      </w:r>
      <w:r>
        <w:rPr>
          <w:spacing w:val="-14"/>
        </w:rPr>
        <w:t> </w:t>
      </w:r>
      <w:r>
        <w:rPr/>
        <w:t>to</w:t>
      </w:r>
      <w:r>
        <w:rPr>
          <w:spacing w:val="-15"/>
        </w:rPr>
        <w:t> </w:t>
      </w:r>
      <w:r>
        <w:rPr/>
        <w:t>the</w:t>
      </w:r>
      <w:r>
        <w:rPr>
          <w:spacing w:val="-16"/>
        </w:rPr>
        <w:t> </w:t>
      </w:r>
      <w:r>
        <w:rPr/>
        <w:t>market.</w:t>
      </w:r>
      <w:r>
        <w:rPr>
          <w:spacing w:val="-16"/>
        </w:rPr>
        <w:t> </w:t>
      </w:r>
      <w:r>
        <w:rPr/>
        <w:t>While</w:t>
      </w:r>
      <w:r>
        <w:rPr>
          <w:spacing w:val="-17"/>
        </w:rPr>
        <w:t> </w:t>
      </w:r>
      <w:r>
        <w:rPr/>
        <w:t>the</w:t>
      </w:r>
      <w:r>
        <w:rPr>
          <w:spacing w:val="-16"/>
        </w:rPr>
        <w:t> </w:t>
      </w:r>
      <w:r>
        <w:rPr/>
        <w:t>Design</w:t>
      </w:r>
      <w:r>
        <w:rPr>
          <w:spacing w:val="-16"/>
        </w:rPr>
        <w:t> </w:t>
      </w:r>
      <w:r>
        <w:rPr/>
        <w:t>Guidelines</w:t>
      </w:r>
      <w:r>
        <w:rPr>
          <w:spacing w:val="-16"/>
        </w:rPr>
        <w:t> </w:t>
      </w:r>
      <w:r>
        <w:rPr/>
        <w:t>are</w:t>
      </w:r>
      <w:r>
        <w:rPr>
          <w:spacing w:val="-15"/>
        </w:rPr>
        <w:t> </w:t>
      </w:r>
      <w:r>
        <w:rPr/>
        <w:t>not</w:t>
      </w:r>
      <w:r>
        <w:rPr>
          <w:spacing w:val="-15"/>
        </w:rPr>
        <w:t> </w:t>
      </w:r>
      <w:r>
        <w:rPr/>
        <w:t>regulatory requirements, the County prefers that all future developments comply with these guidelines. The Design Guidelines do not supersede or otherwise limit the application of adopted zoning regulations, ordinances, building codes, or any other design standards or regulations</w:t>
      </w:r>
      <w:r>
        <w:rPr>
          <w:spacing w:val="-27"/>
        </w:rPr>
        <w:t> </w:t>
      </w:r>
      <w:r>
        <w:rPr/>
        <w:t>administered by Loudoun</w:t>
      </w:r>
      <w:r>
        <w:rPr>
          <w:spacing w:val="-4"/>
        </w:rPr>
        <w:t> </w:t>
      </w:r>
      <w:r>
        <w:rPr/>
        <w:t>County.</w:t>
      </w:r>
    </w:p>
    <w:p>
      <w:pPr>
        <w:pStyle w:val="Heading6"/>
        <w:ind w:left="1440"/>
        <w:rPr>
          <w:i/>
        </w:rPr>
      </w:pPr>
      <w:r>
        <w:rPr>
          <w:i/>
        </w:rPr>
        <w:t>The goals of the SPA Design Guidelines are to:</w:t>
      </w:r>
    </w:p>
    <w:p>
      <w:pPr>
        <w:pStyle w:val="ListParagraph"/>
        <w:numPr>
          <w:ilvl w:val="0"/>
          <w:numId w:val="14"/>
        </w:numPr>
        <w:tabs>
          <w:tab w:pos="2161" w:val="left" w:leader="none"/>
        </w:tabs>
        <w:spacing w:line="259" w:lineRule="auto" w:before="177" w:after="0"/>
        <w:ind w:left="2160" w:right="1438" w:hanging="360"/>
        <w:jc w:val="both"/>
        <w:rPr>
          <w:sz w:val="24"/>
        </w:rPr>
      </w:pPr>
      <w:r>
        <w:rPr>
          <w:sz w:val="24"/>
        </w:rPr>
        <w:t>Create visually interesting and compatible buildings and site designs that use building forms, materials, fenestration, repetition, rhythm, color, and architectural variety resulting in delightful blends of form, volumes, textures, and colors in the various</w:t>
      </w:r>
      <w:r>
        <w:rPr>
          <w:spacing w:val="-7"/>
          <w:sz w:val="24"/>
        </w:rPr>
        <w:t> </w:t>
      </w:r>
      <w:r>
        <w:rPr>
          <w:sz w:val="24"/>
        </w:rPr>
        <w:t>neighborhoods;</w:t>
      </w:r>
    </w:p>
    <w:p>
      <w:pPr>
        <w:pStyle w:val="ListParagraph"/>
        <w:numPr>
          <w:ilvl w:val="0"/>
          <w:numId w:val="14"/>
        </w:numPr>
        <w:tabs>
          <w:tab w:pos="2160" w:val="left" w:leader="none"/>
          <w:tab w:pos="2161" w:val="left" w:leader="none"/>
        </w:tabs>
        <w:spacing w:line="292" w:lineRule="exact" w:before="0" w:after="0"/>
        <w:ind w:left="2160" w:right="0" w:hanging="360"/>
        <w:jc w:val="left"/>
        <w:rPr>
          <w:sz w:val="24"/>
        </w:rPr>
      </w:pPr>
      <w:r>
        <w:rPr>
          <w:sz w:val="24"/>
        </w:rPr>
        <w:t>Create inviting spaces for varied activity;</w:t>
      </w:r>
      <w:r>
        <w:rPr>
          <w:spacing w:val="-1"/>
          <w:sz w:val="24"/>
        </w:rPr>
        <w:t> </w:t>
      </w:r>
      <w:r>
        <w:rPr>
          <w:sz w:val="24"/>
        </w:rPr>
        <w:t>and</w:t>
      </w:r>
    </w:p>
    <w:p>
      <w:pPr>
        <w:pStyle w:val="ListParagraph"/>
        <w:numPr>
          <w:ilvl w:val="0"/>
          <w:numId w:val="14"/>
        </w:numPr>
        <w:tabs>
          <w:tab w:pos="2160" w:val="left" w:leader="none"/>
          <w:tab w:pos="2161" w:val="left" w:leader="none"/>
        </w:tabs>
        <w:spacing w:line="240" w:lineRule="auto" w:before="18" w:after="0"/>
        <w:ind w:left="2160" w:right="0" w:hanging="360"/>
        <w:jc w:val="left"/>
        <w:rPr>
          <w:sz w:val="24"/>
        </w:rPr>
      </w:pPr>
      <w:r>
        <w:rPr>
          <w:sz w:val="24"/>
        </w:rPr>
        <w:t>Create a sense of place and</w:t>
      </w:r>
      <w:r>
        <w:rPr>
          <w:spacing w:val="-3"/>
          <w:sz w:val="24"/>
        </w:rPr>
        <w:t> </w:t>
      </w:r>
      <w:r>
        <w:rPr>
          <w:sz w:val="24"/>
        </w:rPr>
        <w:t>uniqueness.</w:t>
      </w:r>
    </w:p>
    <w:p>
      <w:pPr>
        <w:pStyle w:val="BodyText"/>
        <w:spacing w:line="259" w:lineRule="auto" w:before="184"/>
        <w:ind w:left="1440" w:right="1439"/>
        <w:jc w:val="both"/>
      </w:pPr>
      <w:r>
        <w:rPr/>
        <w:t>When using the guidelines make sure to analyze the impact a potential development may have on the urbanizing landscape, considering not only appearance, but practical considerations - such as</w:t>
      </w:r>
    </w:p>
    <w:p>
      <w:pPr>
        <w:spacing w:after="0" w:line="259" w:lineRule="auto"/>
        <w:jc w:val="both"/>
        <w:sectPr>
          <w:pgSz w:w="12240" w:h="15840"/>
          <w:pgMar w:header="719" w:footer="443" w:top="920" w:bottom="740" w:left="0" w:right="0"/>
        </w:sectPr>
      </w:pPr>
    </w:p>
    <w:p>
      <w:pPr>
        <w:pStyle w:val="BodyText"/>
        <w:rPr>
          <w:sz w:val="20"/>
        </w:rPr>
      </w:pPr>
    </w:p>
    <w:p>
      <w:pPr>
        <w:pStyle w:val="BodyText"/>
        <w:rPr>
          <w:sz w:val="23"/>
        </w:rPr>
      </w:pPr>
    </w:p>
    <w:p>
      <w:pPr>
        <w:pStyle w:val="BodyText"/>
        <w:spacing w:line="259" w:lineRule="auto"/>
        <w:ind w:left="1440" w:right="1437"/>
        <w:jc w:val="both"/>
      </w:pPr>
      <w:r>
        <w:rPr/>
        <w:pict>
          <v:group style="position:absolute;margin-left:90.066002pt;margin-top:114.793144pt;width:447.65pt;height:419pt;mso-position-horizontal-relative:page;mso-position-vertical-relative:paragraph;z-index:-29776" coordorigin="1801,2296" coordsize="8953,8380">
            <v:shape style="position:absolute;left:1801;top:2295;width:7906;height:8380"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v:shape>
            <v:shape style="position:absolute;left:6850;top:7415;width:3904;height:2928" type="#_x0000_t75" stroked="false">
              <v:imagedata r:id="rId49" o:title=""/>
            </v:shape>
            <w10:wrap type="none"/>
          </v:group>
        </w:pict>
      </w:r>
      <w:r>
        <w:rPr/>
        <w:t>proximity and quality of connections to community amenities, jobs, and housing to maximize the use</w:t>
      </w:r>
      <w:r>
        <w:rPr>
          <w:spacing w:val="-9"/>
        </w:rPr>
        <w:t> </w:t>
      </w:r>
      <w:r>
        <w:rPr/>
        <w:t>of</w:t>
      </w:r>
      <w:r>
        <w:rPr>
          <w:spacing w:val="-9"/>
        </w:rPr>
        <w:t> </w:t>
      </w:r>
      <w:r>
        <w:rPr/>
        <w:t>existing</w:t>
      </w:r>
      <w:r>
        <w:rPr>
          <w:spacing w:val="-11"/>
        </w:rPr>
        <w:t> </w:t>
      </w:r>
      <w:r>
        <w:rPr/>
        <w:t>infrastructure</w:t>
      </w:r>
      <w:r>
        <w:rPr>
          <w:spacing w:val="-10"/>
        </w:rPr>
        <w:t> </w:t>
      </w:r>
      <w:r>
        <w:rPr/>
        <w:t>and</w:t>
      </w:r>
      <w:r>
        <w:rPr>
          <w:spacing w:val="-9"/>
        </w:rPr>
        <w:t> </w:t>
      </w:r>
      <w:r>
        <w:rPr/>
        <w:t>limit</w:t>
      </w:r>
      <w:r>
        <w:rPr>
          <w:spacing w:val="-8"/>
        </w:rPr>
        <w:t> </w:t>
      </w:r>
      <w:r>
        <w:rPr/>
        <w:t>travel</w:t>
      </w:r>
      <w:r>
        <w:rPr>
          <w:spacing w:val="-8"/>
        </w:rPr>
        <w:t> </w:t>
      </w:r>
      <w:r>
        <w:rPr/>
        <w:t>distances.</w:t>
      </w:r>
      <w:r>
        <w:rPr>
          <w:spacing w:val="-8"/>
        </w:rPr>
        <w:t> </w:t>
      </w:r>
      <w:r>
        <w:rPr/>
        <w:t>Development</w:t>
      </w:r>
      <w:r>
        <w:rPr>
          <w:spacing w:val="-8"/>
        </w:rPr>
        <w:t> </w:t>
      </w:r>
      <w:r>
        <w:rPr/>
        <w:t>should</w:t>
      </w:r>
      <w:r>
        <w:rPr>
          <w:spacing w:val="-9"/>
        </w:rPr>
        <w:t> </w:t>
      </w:r>
      <w:r>
        <w:rPr/>
        <w:t>contribute</w:t>
      </w:r>
      <w:r>
        <w:rPr>
          <w:spacing w:val="-10"/>
        </w:rPr>
        <w:t> </w:t>
      </w:r>
      <w:r>
        <w:rPr/>
        <w:t>to</w:t>
      </w:r>
      <w:r>
        <w:rPr>
          <w:spacing w:val="-8"/>
        </w:rPr>
        <w:t> </w:t>
      </w:r>
      <w:r>
        <w:rPr/>
        <w:t>creating unique places within the Suburban Policy Area by working with existing topography and site features, responding to the local context, and reinforcing the regional character. Sustainability requires</w:t>
      </w:r>
      <w:r>
        <w:rPr>
          <w:spacing w:val="-7"/>
        </w:rPr>
        <w:t> </w:t>
      </w:r>
      <w:r>
        <w:rPr/>
        <w:t>maximum</w:t>
      </w:r>
      <w:r>
        <w:rPr>
          <w:spacing w:val="-7"/>
        </w:rPr>
        <w:t> </w:t>
      </w:r>
      <w:r>
        <w:rPr/>
        <w:t>consideration</w:t>
      </w:r>
      <w:r>
        <w:rPr>
          <w:spacing w:val="-7"/>
        </w:rPr>
        <w:t> </w:t>
      </w:r>
      <w:r>
        <w:rPr/>
        <w:t>for</w:t>
      </w:r>
      <w:r>
        <w:rPr>
          <w:spacing w:val="-9"/>
        </w:rPr>
        <w:t> </w:t>
      </w:r>
      <w:r>
        <w:rPr/>
        <w:t>using</w:t>
      </w:r>
      <w:r>
        <w:rPr>
          <w:spacing w:val="-9"/>
        </w:rPr>
        <w:t> </w:t>
      </w:r>
      <w:r>
        <w:rPr/>
        <w:t>the</w:t>
      </w:r>
      <w:r>
        <w:rPr>
          <w:spacing w:val="-8"/>
        </w:rPr>
        <w:t> </w:t>
      </w:r>
      <w:r>
        <w:rPr/>
        <w:t>landscape</w:t>
      </w:r>
      <w:r>
        <w:rPr>
          <w:spacing w:val="-8"/>
        </w:rPr>
        <w:t> </w:t>
      </w:r>
      <w:r>
        <w:rPr/>
        <w:t>for</w:t>
      </w:r>
      <w:r>
        <w:rPr>
          <w:spacing w:val="-9"/>
        </w:rPr>
        <w:t> </w:t>
      </w:r>
      <w:r>
        <w:rPr/>
        <w:t>benefits</w:t>
      </w:r>
      <w:r>
        <w:rPr>
          <w:spacing w:val="-4"/>
        </w:rPr>
        <w:t> </w:t>
      </w:r>
      <w:r>
        <w:rPr/>
        <w:t>like</w:t>
      </w:r>
      <w:r>
        <w:rPr>
          <w:spacing w:val="-8"/>
        </w:rPr>
        <w:t> </w:t>
      </w:r>
      <w:r>
        <w:rPr/>
        <w:t>solar</w:t>
      </w:r>
      <w:r>
        <w:rPr>
          <w:spacing w:val="-8"/>
        </w:rPr>
        <w:t> </w:t>
      </w:r>
      <w:r>
        <w:rPr/>
        <w:t>heat</w:t>
      </w:r>
      <w:r>
        <w:rPr>
          <w:spacing w:val="-7"/>
        </w:rPr>
        <w:t> </w:t>
      </w:r>
      <w:r>
        <w:rPr/>
        <w:t>gain</w:t>
      </w:r>
      <w:r>
        <w:rPr>
          <w:spacing w:val="-7"/>
        </w:rPr>
        <w:t> </w:t>
      </w:r>
      <w:r>
        <w:rPr/>
        <w:t>or</w:t>
      </w:r>
      <w:r>
        <w:rPr>
          <w:spacing w:val="-8"/>
        </w:rPr>
        <w:t> </w:t>
      </w:r>
      <w:r>
        <w:rPr/>
        <w:t>shelter from wind, as well as building designs that incorporate energy efficient and green building technologies. Dense areas of buildings should contribute to a hospitable microclimate. Development should locate close to the road and avoid isolating itself on the site in order to “maximize presentation.” The bulk of the design should be appropriate to the function of the development. Unless otherwise specified, the following guidelines apply only within the</w:t>
      </w:r>
      <w:r>
        <w:rPr>
          <w:spacing w:val="-12"/>
        </w:rPr>
        <w:t> </w:t>
      </w:r>
      <w:r>
        <w:rPr/>
        <w:t>SPA:</w:t>
      </w:r>
    </w:p>
    <w:p>
      <w:pPr>
        <w:spacing w:before="132"/>
        <w:ind w:left="1440" w:right="0" w:firstLine="0"/>
        <w:jc w:val="left"/>
        <w:rPr>
          <w:rFonts w:ascii="Arial"/>
          <w:b/>
          <w:sz w:val="28"/>
        </w:rPr>
      </w:pPr>
      <w:r>
        <w:rPr>
          <w:rFonts w:ascii="Arial"/>
          <w:b/>
          <w:color w:val="396230"/>
          <w:w w:val="105"/>
          <w:sz w:val="28"/>
        </w:rPr>
        <w:t>Development Criteria:</w:t>
      </w:r>
    </w:p>
    <w:p>
      <w:pPr>
        <w:pStyle w:val="ListParagraph"/>
        <w:numPr>
          <w:ilvl w:val="0"/>
          <w:numId w:val="15"/>
        </w:numPr>
        <w:tabs>
          <w:tab w:pos="2161" w:val="left" w:leader="none"/>
        </w:tabs>
        <w:spacing w:line="240" w:lineRule="auto" w:before="56" w:after="0"/>
        <w:ind w:left="2160" w:right="0" w:hanging="360"/>
        <w:jc w:val="left"/>
        <w:rPr>
          <w:sz w:val="24"/>
        </w:rPr>
      </w:pPr>
      <w:r>
        <w:rPr>
          <w:sz w:val="24"/>
        </w:rPr>
        <w:t>Ensure that the use contributes to and complements the existing development</w:t>
      </w:r>
      <w:r>
        <w:rPr>
          <w:spacing w:val="-5"/>
          <w:sz w:val="24"/>
        </w:rPr>
        <w:t> </w:t>
      </w:r>
      <w:r>
        <w:rPr>
          <w:sz w:val="24"/>
        </w:rPr>
        <w:t>pattern;</w:t>
      </w:r>
    </w:p>
    <w:p>
      <w:pPr>
        <w:pStyle w:val="ListParagraph"/>
        <w:numPr>
          <w:ilvl w:val="0"/>
          <w:numId w:val="15"/>
        </w:numPr>
        <w:tabs>
          <w:tab w:pos="2161" w:val="left" w:leader="none"/>
        </w:tabs>
        <w:spacing w:line="240" w:lineRule="auto" w:before="22" w:after="0"/>
        <w:ind w:left="2160" w:right="0" w:hanging="360"/>
        <w:jc w:val="left"/>
        <w:rPr>
          <w:sz w:val="24"/>
        </w:rPr>
      </w:pPr>
      <w:r>
        <w:rPr>
          <w:sz w:val="24"/>
        </w:rPr>
        <w:t>Consider innovative uses that contribute to the surrounding</w:t>
      </w:r>
      <w:r>
        <w:rPr>
          <w:spacing w:val="-5"/>
          <w:sz w:val="24"/>
        </w:rPr>
        <w:t> </w:t>
      </w:r>
      <w:r>
        <w:rPr>
          <w:sz w:val="24"/>
        </w:rPr>
        <w:t>community;</w:t>
      </w:r>
    </w:p>
    <w:p>
      <w:pPr>
        <w:pStyle w:val="ListParagraph"/>
        <w:numPr>
          <w:ilvl w:val="0"/>
          <w:numId w:val="15"/>
        </w:numPr>
        <w:tabs>
          <w:tab w:pos="2161" w:val="left" w:leader="none"/>
        </w:tabs>
        <w:spacing w:line="259" w:lineRule="auto" w:before="21" w:after="0"/>
        <w:ind w:left="2160" w:right="1443" w:hanging="360"/>
        <w:jc w:val="both"/>
        <w:rPr>
          <w:sz w:val="24"/>
        </w:rPr>
      </w:pPr>
      <w:r>
        <w:rPr>
          <w:sz w:val="24"/>
        </w:rPr>
        <w:t>Provide</w:t>
      </w:r>
      <w:r>
        <w:rPr>
          <w:spacing w:val="-7"/>
          <w:sz w:val="24"/>
        </w:rPr>
        <w:t> </w:t>
      </w:r>
      <w:r>
        <w:rPr>
          <w:sz w:val="24"/>
        </w:rPr>
        <w:t>consistency</w:t>
      </w:r>
      <w:r>
        <w:rPr>
          <w:spacing w:val="-9"/>
          <w:sz w:val="24"/>
        </w:rPr>
        <w:t> </w:t>
      </w:r>
      <w:r>
        <w:rPr>
          <w:sz w:val="24"/>
        </w:rPr>
        <w:t>with</w:t>
      </w:r>
      <w:r>
        <w:rPr>
          <w:spacing w:val="-6"/>
          <w:sz w:val="24"/>
        </w:rPr>
        <w:t> </w:t>
      </w:r>
      <w:r>
        <w:rPr>
          <w:sz w:val="24"/>
        </w:rPr>
        <w:t>the</w:t>
      </w:r>
      <w:r>
        <w:rPr>
          <w:spacing w:val="-7"/>
          <w:sz w:val="24"/>
        </w:rPr>
        <w:t> </w:t>
      </w:r>
      <w:r>
        <w:rPr>
          <w:sz w:val="24"/>
        </w:rPr>
        <w:t>desired</w:t>
      </w:r>
      <w:r>
        <w:rPr>
          <w:spacing w:val="-6"/>
          <w:sz w:val="24"/>
        </w:rPr>
        <w:t> </w:t>
      </w:r>
      <w:r>
        <w:rPr>
          <w:sz w:val="24"/>
        </w:rPr>
        <w:t>form,</w:t>
      </w:r>
      <w:r>
        <w:rPr>
          <w:spacing w:val="-7"/>
          <w:sz w:val="24"/>
        </w:rPr>
        <w:t> </w:t>
      </w:r>
      <w:r>
        <w:rPr>
          <w:sz w:val="24"/>
        </w:rPr>
        <w:t>character</w:t>
      </w:r>
      <w:r>
        <w:rPr>
          <w:spacing w:val="-7"/>
          <w:sz w:val="24"/>
        </w:rPr>
        <w:t> </w:t>
      </w:r>
      <w:r>
        <w:rPr>
          <w:sz w:val="24"/>
        </w:rPr>
        <w:t>and</w:t>
      </w:r>
      <w:r>
        <w:rPr>
          <w:spacing w:val="-4"/>
          <w:sz w:val="24"/>
        </w:rPr>
        <w:t> </w:t>
      </w:r>
      <w:r>
        <w:rPr>
          <w:sz w:val="24"/>
        </w:rPr>
        <w:t>land</w:t>
      </w:r>
      <w:r>
        <w:rPr>
          <w:spacing w:val="-7"/>
          <w:sz w:val="24"/>
        </w:rPr>
        <w:t> </w:t>
      </w:r>
      <w:r>
        <w:rPr>
          <w:sz w:val="24"/>
        </w:rPr>
        <w:t>uses</w:t>
      </w:r>
      <w:r>
        <w:rPr>
          <w:spacing w:val="-6"/>
          <w:sz w:val="24"/>
        </w:rPr>
        <w:t> </w:t>
      </w:r>
      <w:r>
        <w:rPr>
          <w:sz w:val="24"/>
        </w:rPr>
        <w:t>of</w:t>
      </w:r>
      <w:r>
        <w:rPr>
          <w:spacing w:val="-5"/>
          <w:sz w:val="24"/>
        </w:rPr>
        <w:t> </w:t>
      </w:r>
      <w:r>
        <w:rPr>
          <w:sz w:val="24"/>
        </w:rPr>
        <w:t>the</w:t>
      </w:r>
      <w:r>
        <w:rPr>
          <w:spacing w:val="-7"/>
          <w:sz w:val="24"/>
        </w:rPr>
        <w:t> </w:t>
      </w:r>
      <w:r>
        <w:rPr>
          <w:sz w:val="24"/>
        </w:rPr>
        <w:t>underlying</w:t>
      </w:r>
      <w:r>
        <w:rPr>
          <w:spacing w:val="-6"/>
          <w:sz w:val="24"/>
        </w:rPr>
        <w:t> </w:t>
      </w:r>
      <w:r>
        <w:rPr>
          <w:sz w:val="24"/>
        </w:rPr>
        <w:t>Place Type;</w:t>
      </w:r>
    </w:p>
    <w:p>
      <w:pPr>
        <w:pStyle w:val="ListParagraph"/>
        <w:numPr>
          <w:ilvl w:val="0"/>
          <w:numId w:val="15"/>
        </w:numPr>
        <w:tabs>
          <w:tab w:pos="2161" w:val="left" w:leader="none"/>
        </w:tabs>
        <w:spacing w:line="259" w:lineRule="auto" w:before="0" w:after="0"/>
        <w:ind w:left="2160" w:right="1444" w:hanging="360"/>
        <w:jc w:val="both"/>
        <w:rPr>
          <w:sz w:val="24"/>
        </w:rPr>
      </w:pPr>
      <w:r>
        <w:rPr>
          <w:sz w:val="24"/>
        </w:rPr>
        <w:t>Differences between the height, scale, bulk, setback from the street, or other physical features of the proposed development, and existing development in the immediate</w:t>
      </w:r>
      <w:r>
        <w:rPr>
          <w:spacing w:val="-9"/>
          <w:sz w:val="24"/>
        </w:rPr>
        <w:t> </w:t>
      </w:r>
      <w:r>
        <w:rPr>
          <w:sz w:val="24"/>
        </w:rPr>
        <w:t>area;</w:t>
      </w:r>
    </w:p>
    <w:p>
      <w:pPr>
        <w:pStyle w:val="ListParagraph"/>
        <w:numPr>
          <w:ilvl w:val="0"/>
          <w:numId w:val="15"/>
        </w:numPr>
        <w:tabs>
          <w:tab w:pos="2161" w:val="left" w:leader="none"/>
        </w:tabs>
        <w:spacing w:line="275" w:lineRule="exact" w:before="0" w:after="0"/>
        <w:ind w:left="2160" w:right="0" w:hanging="360"/>
        <w:jc w:val="left"/>
        <w:rPr>
          <w:sz w:val="24"/>
        </w:rPr>
      </w:pPr>
      <w:r>
        <w:rPr>
          <w:sz w:val="24"/>
        </w:rPr>
        <w:t>Presence and quality of a spatial or physical transition between</w:t>
      </w:r>
      <w:r>
        <w:rPr>
          <w:spacing w:val="-6"/>
          <w:sz w:val="24"/>
        </w:rPr>
        <w:t> </w:t>
      </w:r>
      <w:r>
        <w:rPr>
          <w:sz w:val="24"/>
        </w:rPr>
        <w:t>uses;</w:t>
      </w:r>
    </w:p>
    <w:p>
      <w:pPr>
        <w:pStyle w:val="ListParagraph"/>
        <w:numPr>
          <w:ilvl w:val="0"/>
          <w:numId w:val="15"/>
        </w:numPr>
        <w:tabs>
          <w:tab w:pos="2161" w:val="left" w:leader="none"/>
        </w:tabs>
        <w:spacing w:line="240" w:lineRule="auto" w:before="21" w:after="0"/>
        <w:ind w:left="2160" w:right="0" w:hanging="360"/>
        <w:jc w:val="left"/>
        <w:rPr>
          <w:sz w:val="24"/>
        </w:rPr>
      </w:pPr>
      <w:r>
        <w:rPr>
          <w:sz w:val="24"/>
        </w:rPr>
        <w:t>Availability of adequate roads, services and infrastructure;</w:t>
      </w:r>
      <w:r>
        <w:rPr>
          <w:spacing w:val="-5"/>
          <w:sz w:val="24"/>
        </w:rPr>
        <w:t> </w:t>
      </w:r>
      <w:r>
        <w:rPr>
          <w:sz w:val="24"/>
        </w:rPr>
        <w:t>and</w:t>
      </w:r>
    </w:p>
    <w:p>
      <w:pPr>
        <w:pStyle w:val="ListParagraph"/>
        <w:numPr>
          <w:ilvl w:val="0"/>
          <w:numId w:val="15"/>
        </w:numPr>
        <w:tabs>
          <w:tab w:pos="2161" w:val="left" w:leader="none"/>
        </w:tabs>
        <w:spacing w:line="240" w:lineRule="auto" w:before="19" w:after="0"/>
        <w:ind w:left="2160" w:right="0" w:hanging="360"/>
        <w:jc w:val="left"/>
        <w:rPr>
          <w:sz w:val="24"/>
        </w:rPr>
      </w:pPr>
      <w:r>
        <w:rPr>
          <w:sz w:val="24"/>
        </w:rPr>
        <w:t>Relationship and incorporation of existing Natural and Heritage</w:t>
      </w:r>
      <w:r>
        <w:rPr>
          <w:spacing w:val="-2"/>
          <w:sz w:val="24"/>
        </w:rPr>
        <w:t> </w:t>
      </w:r>
      <w:r>
        <w:rPr>
          <w:sz w:val="24"/>
        </w:rPr>
        <w:t>resources.</w:t>
      </w:r>
    </w:p>
    <w:p>
      <w:pPr>
        <w:pStyle w:val="Heading3"/>
        <w:spacing w:before="158"/>
        <w:jc w:val="both"/>
      </w:pPr>
      <w:r>
        <w:rPr>
          <w:color w:val="396230"/>
        </w:rPr>
        <w:t>Building Orientation and Setbacks</w:t>
      </w:r>
    </w:p>
    <w:p>
      <w:pPr>
        <w:pStyle w:val="ListParagraph"/>
        <w:numPr>
          <w:ilvl w:val="0"/>
          <w:numId w:val="16"/>
        </w:numPr>
        <w:tabs>
          <w:tab w:pos="2161" w:val="left" w:leader="none"/>
        </w:tabs>
        <w:spacing w:line="259" w:lineRule="auto" w:before="55" w:after="0"/>
        <w:ind w:left="2160" w:right="1439" w:hanging="360"/>
        <w:jc w:val="both"/>
        <w:rPr>
          <w:sz w:val="24"/>
        </w:rPr>
      </w:pPr>
      <w:r>
        <w:rPr>
          <w:sz w:val="24"/>
        </w:rPr>
        <w:t>All development should include a site design that is compact and makes buildings the prominent feature of the site as viewed from adjoining/adjacent roads, especially along major thoroughfares. Site design</w:t>
      </w:r>
      <w:r>
        <w:rPr>
          <w:spacing w:val="5"/>
          <w:sz w:val="24"/>
        </w:rPr>
        <w:t> </w:t>
      </w:r>
      <w:r>
        <w:rPr>
          <w:sz w:val="24"/>
        </w:rPr>
        <w:t>and</w:t>
      </w:r>
    </w:p>
    <w:p>
      <w:pPr>
        <w:pStyle w:val="BodyText"/>
        <w:spacing w:line="259" w:lineRule="auto"/>
        <w:ind w:left="2160" w:right="5566"/>
        <w:jc w:val="both"/>
      </w:pPr>
      <w:r>
        <w:rPr/>
        <w:t>development will strive to minimize site disturbance and minimize removal of existing, viable vegetation.</w:t>
      </w:r>
    </w:p>
    <w:p>
      <w:pPr>
        <w:pStyle w:val="ListParagraph"/>
        <w:numPr>
          <w:ilvl w:val="0"/>
          <w:numId w:val="16"/>
        </w:numPr>
        <w:tabs>
          <w:tab w:pos="2161" w:val="left" w:leader="none"/>
        </w:tabs>
        <w:spacing w:line="259" w:lineRule="auto" w:before="1" w:after="0"/>
        <w:ind w:left="2160" w:right="5570" w:hanging="360"/>
        <w:jc w:val="both"/>
        <w:rPr>
          <w:sz w:val="24"/>
        </w:rPr>
      </w:pPr>
      <w:r>
        <w:rPr>
          <w:sz w:val="24"/>
        </w:rPr>
        <w:t>It is desirable to have civic, open spaces, green spaces, and vegetation to separate parking lots from buildings and areas for human activity. Civic spaces and green spaces are encouraged to have public art</w:t>
      </w:r>
      <w:r>
        <w:rPr>
          <w:spacing w:val="-4"/>
          <w:sz w:val="24"/>
        </w:rPr>
        <w:t> </w:t>
      </w:r>
      <w:r>
        <w:rPr>
          <w:sz w:val="24"/>
        </w:rPr>
        <w:t>enhancements.</w:t>
      </w:r>
    </w:p>
    <w:p>
      <w:pPr>
        <w:pStyle w:val="Heading3"/>
      </w:pPr>
      <w:r>
        <w:rPr>
          <w:color w:val="396230"/>
        </w:rPr>
        <w:t>Building Design and Façades</w:t>
      </w:r>
    </w:p>
    <w:p>
      <w:pPr>
        <w:pStyle w:val="ListParagraph"/>
        <w:numPr>
          <w:ilvl w:val="0"/>
          <w:numId w:val="17"/>
        </w:numPr>
        <w:tabs>
          <w:tab w:pos="2252" w:val="left" w:leader="none"/>
        </w:tabs>
        <w:spacing w:line="259" w:lineRule="auto" w:before="55" w:after="0"/>
        <w:ind w:left="2251" w:right="1436" w:hanging="451"/>
        <w:jc w:val="both"/>
        <w:rPr>
          <w:sz w:val="24"/>
        </w:rPr>
      </w:pPr>
      <w:r>
        <w:rPr>
          <w:sz w:val="24"/>
        </w:rPr>
        <w:t>Buildings within larger multi-building developments should exhibit a unity of design through</w:t>
      </w:r>
      <w:r>
        <w:rPr>
          <w:spacing w:val="-16"/>
          <w:sz w:val="24"/>
        </w:rPr>
        <w:t> </w:t>
      </w:r>
      <w:r>
        <w:rPr>
          <w:sz w:val="24"/>
        </w:rPr>
        <w:t>the</w:t>
      </w:r>
      <w:r>
        <w:rPr>
          <w:spacing w:val="-16"/>
          <w:sz w:val="24"/>
        </w:rPr>
        <w:t> </w:t>
      </w:r>
      <w:r>
        <w:rPr>
          <w:sz w:val="24"/>
        </w:rPr>
        <w:t>use</w:t>
      </w:r>
      <w:r>
        <w:rPr>
          <w:spacing w:val="-17"/>
          <w:sz w:val="24"/>
        </w:rPr>
        <w:t> </w:t>
      </w:r>
      <w:r>
        <w:rPr>
          <w:sz w:val="24"/>
        </w:rPr>
        <w:t>of</w:t>
      </w:r>
      <w:r>
        <w:rPr>
          <w:spacing w:val="-17"/>
          <w:sz w:val="24"/>
        </w:rPr>
        <w:t> </w:t>
      </w:r>
      <w:r>
        <w:rPr>
          <w:sz w:val="24"/>
        </w:rPr>
        <w:t>similar</w:t>
      </w:r>
      <w:r>
        <w:rPr>
          <w:spacing w:val="-15"/>
          <w:sz w:val="24"/>
        </w:rPr>
        <w:t> </w:t>
      </w:r>
      <w:r>
        <w:rPr>
          <w:sz w:val="24"/>
        </w:rPr>
        <w:t>elements</w:t>
      </w:r>
      <w:r>
        <w:rPr>
          <w:spacing w:val="-15"/>
          <w:sz w:val="24"/>
        </w:rPr>
        <w:t> </w:t>
      </w:r>
      <w:r>
        <w:rPr>
          <w:sz w:val="24"/>
        </w:rPr>
        <w:t>such</w:t>
      </w:r>
      <w:r>
        <w:rPr>
          <w:spacing w:val="-16"/>
          <w:sz w:val="24"/>
        </w:rPr>
        <w:t> </w:t>
      </w:r>
      <w:r>
        <w:rPr>
          <w:sz w:val="24"/>
        </w:rPr>
        <w:t>as</w:t>
      </w:r>
      <w:r>
        <w:rPr>
          <w:spacing w:val="-15"/>
          <w:sz w:val="24"/>
        </w:rPr>
        <w:t> </w:t>
      </w:r>
      <w:r>
        <w:rPr>
          <w:sz w:val="24"/>
        </w:rPr>
        <w:t>rooflines,</w:t>
      </w:r>
      <w:r>
        <w:rPr>
          <w:spacing w:val="-16"/>
          <w:sz w:val="24"/>
        </w:rPr>
        <w:t> </w:t>
      </w:r>
      <w:r>
        <w:rPr>
          <w:sz w:val="24"/>
        </w:rPr>
        <w:t>exterior</w:t>
      </w:r>
      <w:r>
        <w:rPr>
          <w:spacing w:val="-16"/>
          <w:sz w:val="24"/>
        </w:rPr>
        <w:t> </w:t>
      </w:r>
      <w:r>
        <w:rPr>
          <w:sz w:val="24"/>
        </w:rPr>
        <w:t>materials,</w:t>
      </w:r>
      <w:r>
        <w:rPr>
          <w:spacing w:val="-15"/>
          <w:sz w:val="24"/>
        </w:rPr>
        <w:t> </w:t>
      </w:r>
      <w:r>
        <w:rPr>
          <w:sz w:val="24"/>
        </w:rPr>
        <w:t>facade</w:t>
      </w:r>
      <w:r>
        <w:rPr>
          <w:spacing w:val="-17"/>
          <w:sz w:val="24"/>
        </w:rPr>
        <w:t> </w:t>
      </w:r>
      <w:r>
        <w:rPr>
          <w:sz w:val="24"/>
        </w:rPr>
        <w:t>treatments, window/fenestration arrangements, sign location, and architectural styles and</w:t>
      </w:r>
      <w:r>
        <w:rPr>
          <w:spacing w:val="-9"/>
          <w:sz w:val="24"/>
        </w:rPr>
        <w:t> </w:t>
      </w:r>
      <w:r>
        <w:rPr>
          <w:sz w:val="24"/>
        </w:rPr>
        <w:t>details.</w:t>
      </w:r>
    </w:p>
    <w:p>
      <w:pPr>
        <w:pStyle w:val="ListParagraph"/>
        <w:numPr>
          <w:ilvl w:val="0"/>
          <w:numId w:val="17"/>
        </w:numPr>
        <w:tabs>
          <w:tab w:pos="2252" w:val="left" w:leader="none"/>
        </w:tabs>
        <w:spacing w:line="259" w:lineRule="auto" w:before="0" w:after="0"/>
        <w:ind w:left="2251" w:right="1433" w:hanging="451"/>
        <w:jc w:val="both"/>
        <w:rPr>
          <w:sz w:val="24"/>
        </w:rPr>
      </w:pPr>
      <w:r>
        <w:rPr>
          <w:sz w:val="24"/>
        </w:rPr>
        <w:t>Large freestanding stores, retail centers, commercial centers, and restaurants will be encouraged to provide usable outdoor civic or public</w:t>
      </w:r>
      <w:r>
        <w:rPr>
          <w:spacing w:val="-5"/>
          <w:sz w:val="24"/>
        </w:rPr>
        <w:t> </w:t>
      </w:r>
      <w:r>
        <w:rPr>
          <w:sz w:val="24"/>
        </w:rPr>
        <w:t>spaces.</w:t>
      </w:r>
    </w:p>
    <w:p>
      <w:pPr>
        <w:pStyle w:val="ListParagraph"/>
        <w:numPr>
          <w:ilvl w:val="0"/>
          <w:numId w:val="17"/>
        </w:numPr>
        <w:tabs>
          <w:tab w:pos="2252" w:val="left" w:leader="none"/>
        </w:tabs>
        <w:spacing w:line="259" w:lineRule="auto" w:before="0" w:after="0"/>
        <w:ind w:left="2251" w:right="1435" w:hanging="451"/>
        <w:jc w:val="both"/>
        <w:rPr>
          <w:sz w:val="24"/>
        </w:rPr>
      </w:pPr>
      <w:r>
        <w:rPr>
          <w:sz w:val="24"/>
        </w:rPr>
        <w:t>Required drainage and stormwater management facilities, such as holding basins, drainage</w:t>
      </w:r>
      <w:r>
        <w:rPr>
          <w:spacing w:val="-8"/>
          <w:sz w:val="24"/>
        </w:rPr>
        <w:t> </w:t>
      </w:r>
      <w:r>
        <w:rPr>
          <w:sz w:val="24"/>
        </w:rPr>
        <w:t>swales,</w:t>
      </w:r>
      <w:r>
        <w:rPr>
          <w:spacing w:val="-7"/>
          <w:sz w:val="24"/>
        </w:rPr>
        <w:t> </w:t>
      </w:r>
      <w:r>
        <w:rPr>
          <w:sz w:val="24"/>
        </w:rPr>
        <w:t>and</w:t>
      </w:r>
      <w:r>
        <w:rPr>
          <w:spacing w:val="-7"/>
          <w:sz w:val="24"/>
        </w:rPr>
        <w:t> </w:t>
      </w:r>
      <w:r>
        <w:rPr>
          <w:sz w:val="24"/>
        </w:rPr>
        <w:t>culverts</w:t>
      </w:r>
      <w:r>
        <w:rPr>
          <w:spacing w:val="-7"/>
          <w:sz w:val="24"/>
        </w:rPr>
        <w:t> </w:t>
      </w:r>
      <w:r>
        <w:rPr>
          <w:sz w:val="24"/>
        </w:rPr>
        <w:t>should</w:t>
      </w:r>
      <w:r>
        <w:rPr>
          <w:spacing w:val="-7"/>
          <w:sz w:val="24"/>
        </w:rPr>
        <w:t> </w:t>
      </w:r>
      <w:r>
        <w:rPr>
          <w:sz w:val="24"/>
        </w:rPr>
        <w:t>be</w:t>
      </w:r>
      <w:r>
        <w:rPr>
          <w:spacing w:val="-8"/>
          <w:sz w:val="24"/>
        </w:rPr>
        <w:t> </w:t>
      </w:r>
      <w:r>
        <w:rPr>
          <w:sz w:val="24"/>
        </w:rPr>
        <w:t>incorporated</w:t>
      </w:r>
      <w:r>
        <w:rPr>
          <w:spacing w:val="-8"/>
          <w:sz w:val="24"/>
        </w:rPr>
        <w:t> </w:t>
      </w:r>
      <w:r>
        <w:rPr>
          <w:sz w:val="24"/>
        </w:rPr>
        <w:t>as</w:t>
      </w:r>
      <w:r>
        <w:rPr>
          <w:spacing w:val="-7"/>
          <w:sz w:val="24"/>
        </w:rPr>
        <w:t> </w:t>
      </w:r>
      <w:r>
        <w:rPr>
          <w:sz w:val="24"/>
        </w:rPr>
        <w:t>features</w:t>
      </w:r>
      <w:r>
        <w:rPr>
          <w:spacing w:val="-7"/>
          <w:sz w:val="24"/>
        </w:rPr>
        <w:t> </w:t>
      </w:r>
      <w:r>
        <w:rPr>
          <w:sz w:val="24"/>
        </w:rPr>
        <w:t>into</w:t>
      </w:r>
      <w:r>
        <w:rPr>
          <w:spacing w:val="-7"/>
          <w:sz w:val="24"/>
        </w:rPr>
        <w:t> </w:t>
      </w:r>
      <w:r>
        <w:rPr>
          <w:sz w:val="24"/>
        </w:rPr>
        <w:t>the</w:t>
      </w:r>
      <w:r>
        <w:rPr>
          <w:spacing w:val="-8"/>
          <w:sz w:val="24"/>
        </w:rPr>
        <w:t> </w:t>
      </w:r>
      <w:r>
        <w:rPr>
          <w:sz w:val="24"/>
        </w:rPr>
        <w:t>site</w:t>
      </w:r>
      <w:r>
        <w:rPr>
          <w:spacing w:val="-8"/>
          <w:sz w:val="24"/>
        </w:rPr>
        <w:t> </w:t>
      </w:r>
      <w:r>
        <w:rPr>
          <w:sz w:val="24"/>
        </w:rPr>
        <w:t>design</w:t>
      </w:r>
      <w:r>
        <w:rPr>
          <w:spacing w:val="-7"/>
          <w:sz w:val="24"/>
        </w:rPr>
        <w:t> </w:t>
      </w:r>
      <w:r>
        <w:rPr>
          <w:sz w:val="24"/>
        </w:rPr>
        <w:t>of</w:t>
      </w:r>
      <w:r>
        <w:rPr>
          <w:spacing w:val="-8"/>
          <w:sz w:val="24"/>
        </w:rPr>
        <w:t> </w:t>
      </w:r>
      <w:r>
        <w:rPr>
          <w:sz w:val="24"/>
        </w:rPr>
        <w:t>the project,</w:t>
      </w:r>
      <w:r>
        <w:rPr>
          <w:spacing w:val="45"/>
          <w:sz w:val="24"/>
        </w:rPr>
        <w:t> </w:t>
      </w:r>
      <w:r>
        <w:rPr>
          <w:sz w:val="24"/>
        </w:rPr>
        <w:t>to</w:t>
      </w:r>
      <w:r>
        <w:rPr>
          <w:spacing w:val="45"/>
          <w:sz w:val="24"/>
        </w:rPr>
        <w:t> </w:t>
      </w:r>
      <w:r>
        <w:rPr>
          <w:sz w:val="24"/>
        </w:rPr>
        <w:t>the</w:t>
      </w:r>
      <w:r>
        <w:rPr>
          <w:spacing w:val="45"/>
          <w:sz w:val="24"/>
        </w:rPr>
        <w:t> </w:t>
      </w:r>
      <w:r>
        <w:rPr>
          <w:sz w:val="24"/>
        </w:rPr>
        <w:t>extent</w:t>
      </w:r>
      <w:r>
        <w:rPr>
          <w:spacing w:val="45"/>
          <w:sz w:val="24"/>
        </w:rPr>
        <w:t> </w:t>
      </w:r>
      <w:r>
        <w:rPr>
          <w:sz w:val="24"/>
        </w:rPr>
        <w:t>possible.</w:t>
      </w:r>
      <w:r>
        <w:rPr>
          <w:spacing w:val="45"/>
          <w:sz w:val="24"/>
        </w:rPr>
        <w:t> </w:t>
      </w:r>
      <w:r>
        <w:rPr>
          <w:sz w:val="24"/>
        </w:rPr>
        <w:t>Natural</w:t>
      </w:r>
      <w:r>
        <w:rPr>
          <w:spacing w:val="45"/>
          <w:sz w:val="24"/>
        </w:rPr>
        <w:t> </w:t>
      </w:r>
      <w:r>
        <w:rPr>
          <w:sz w:val="24"/>
        </w:rPr>
        <w:t>drainage</w:t>
      </w:r>
      <w:r>
        <w:rPr>
          <w:spacing w:val="43"/>
          <w:sz w:val="24"/>
        </w:rPr>
        <w:t> </w:t>
      </w:r>
      <w:r>
        <w:rPr>
          <w:sz w:val="24"/>
        </w:rPr>
        <w:t>features</w:t>
      </w:r>
      <w:r>
        <w:rPr>
          <w:spacing w:val="45"/>
          <w:sz w:val="24"/>
        </w:rPr>
        <w:t> </w:t>
      </w:r>
      <w:r>
        <w:rPr>
          <w:sz w:val="24"/>
        </w:rPr>
        <w:t>should</w:t>
      </w:r>
      <w:r>
        <w:rPr>
          <w:spacing w:val="45"/>
          <w:sz w:val="24"/>
        </w:rPr>
        <w:t> </w:t>
      </w:r>
      <w:r>
        <w:rPr>
          <w:sz w:val="24"/>
        </w:rPr>
        <w:t>be</w:t>
      </w:r>
      <w:r>
        <w:rPr>
          <w:spacing w:val="43"/>
          <w:sz w:val="24"/>
        </w:rPr>
        <w:t> </w:t>
      </w:r>
      <w:r>
        <w:rPr>
          <w:sz w:val="24"/>
        </w:rPr>
        <w:t>conserved</w:t>
      </w:r>
      <w:r>
        <w:rPr>
          <w:spacing w:val="45"/>
          <w:sz w:val="24"/>
        </w:rPr>
        <w:t> </w:t>
      </w:r>
      <w:r>
        <w:rPr>
          <w:sz w:val="24"/>
        </w:rPr>
        <w:t>to</w:t>
      </w:r>
      <w:r>
        <w:rPr>
          <w:spacing w:val="45"/>
          <w:sz w:val="24"/>
        </w:rPr>
        <w:t> </w:t>
      </w:r>
      <w:r>
        <w:rPr>
          <w:sz w:val="24"/>
        </w:rPr>
        <w:t>the</w:t>
      </w:r>
    </w:p>
    <w:p>
      <w:pPr>
        <w:spacing w:after="0" w:line="259" w:lineRule="auto"/>
        <w:jc w:val="both"/>
        <w:rPr>
          <w:sz w:val="24"/>
        </w:rPr>
        <w:sectPr>
          <w:pgSz w:w="12240" w:h="15840"/>
          <w:pgMar w:header="719" w:footer="443" w:top="920" w:bottom="740" w:left="0" w:right="0"/>
        </w:sectPr>
      </w:pPr>
    </w:p>
    <w:p>
      <w:pPr>
        <w:pStyle w:val="BodyText"/>
        <w:rPr>
          <w:sz w:val="20"/>
        </w:rPr>
      </w:pPr>
    </w:p>
    <w:p>
      <w:pPr>
        <w:pStyle w:val="BodyText"/>
        <w:rPr>
          <w:sz w:val="23"/>
        </w:rPr>
      </w:pPr>
    </w:p>
    <w:p>
      <w:pPr>
        <w:pStyle w:val="BodyText"/>
        <w:spacing w:line="259" w:lineRule="auto"/>
        <w:ind w:left="2251" w:right="1495"/>
      </w:pPr>
      <w:r>
        <w:rPr/>
        <w:t>greatest extent possible, minimizing impervious facilities to the extent technically feasible.</w:t>
      </w:r>
    </w:p>
    <w:p>
      <w:pPr>
        <w:pStyle w:val="ListParagraph"/>
        <w:numPr>
          <w:ilvl w:val="0"/>
          <w:numId w:val="17"/>
        </w:numPr>
        <w:tabs>
          <w:tab w:pos="2252" w:val="left" w:leader="none"/>
        </w:tabs>
        <w:spacing w:line="259" w:lineRule="auto" w:before="0" w:after="0"/>
        <w:ind w:left="2251" w:right="1436" w:hanging="451"/>
        <w:jc w:val="both"/>
        <w:rPr>
          <w:sz w:val="24"/>
        </w:rPr>
      </w:pPr>
      <w:r>
        <w:rPr>
          <w:sz w:val="24"/>
        </w:rPr>
        <w:t>Building</w:t>
      </w:r>
      <w:r>
        <w:rPr>
          <w:spacing w:val="-8"/>
          <w:sz w:val="24"/>
        </w:rPr>
        <w:t> </w:t>
      </w:r>
      <w:r>
        <w:rPr>
          <w:sz w:val="24"/>
        </w:rPr>
        <w:t>massing</w:t>
      </w:r>
      <w:r>
        <w:rPr>
          <w:spacing w:val="-9"/>
          <w:sz w:val="24"/>
        </w:rPr>
        <w:t> </w:t>
      </w:r>
      <w:r>
        <w:rPr>
          <w:sz w:val="24"/>
        </w:rPr>
        <w:t>and</w:t>
      </w:r>
      <w:r>
        <w:rPr>
          <w:spacing w:val="-6"/>
          <w:sz w:val="24"/>
        </w:rPr>
        <w:t> </w:t>
      </w:r>
      <w:r>
        <w:rPr>
          <w:sz w:val="24"/>
        </w:rPr>
        <w:t>walls</w:t>
      </w:r>
      <w:r>
        <w:rPr>
          <w:spacing w:val="-4"/>
          <w:sz w:val="24"/>
        </w:rPr>
        <w:t> </w:t>
      </w:r>
      <w:r>
        <w:rPr>
          <w:sz w:val="24"/>
        </w:rPr>
        <w:t>must</w:t>
      </w:r>
      <w:r>
        <w:rPr>
          <w:spacing w:val="-5"/>
          <w:sz w:val="24"/>
        </w:rPr>
        <w:t> </w:t>
      </w:r>
      <w:r>
        <w:rPr>
          <w:sz w:val="24"/>
        </w:rPr>
        <w:t>be</w:t>
      </w:r>
      <w:r>
        <w:rPr>
          <w:spacing w:val="-7"/>
          <w:sz w:val="24"/>
        </w:rPr>
        <w:t> </w:t>
      </w:r>
      <w:r>
        <w:rPr>
          <w:sz w:val="24"/>
        </w:rPr>
        <w:t>varied</w:t>
      </w:r>
      <w:r>
        <w:rPr>
          <w:spacing w:val="-6"/>
          <w:sz w:val="24"/>
        </w:rPr>
        <w:t> </w:t>
      </w:r>
      <w:r>
        <w:rPr>
          <w:sz w:val="24"/>
        </w:rPr>
        <w:t>to</w:t>
      </w:r>
      <w:r>
        <w:rPr>
          <w:spacing w:val="-5"/>
          <w:sz w:val="24"/>
        </w:rPr>
        <w:t> </w:t>
      </w:r>
      <w:r>
        <w:rPr>
          <w:sz w:val="24"/>
        </w:rPr>
        <w:t>avoid</w:t>
      </w:r>
      <w:r>
        <w:rPr>
          <w:spacing w:val="-6"/>
          <w:sz w:val="24"/>
        </w:rPr>
        <w:t> </w:t>
      </w:r>
      <w:r>
        <w:rPr>
          <w:sz w:val="24"/>
        </w:rPr>
        <w:t>long,</w:t>
      </w:r>
      <w:r>
        <w:rPr>
          <w:spacing w:val="-6"/>
          <w:sz w:val="24"/>
        </w:rPr>
        <w:t> </w:t>
      </w:r>
      <w:r>
        <w:rPr>
          <w:sz w:val="24"/>
        </w:rPr>
        <w:t>flat</w:t>
      </w:r>
      <w:r>
        <w:rPr>
          <w:spacing w:val="-6"/>
          <w:sz w:val="24"/>
        </w:rPr>
        <w:t> </w:t>
      </w:r>
      <w:r>
        <w:rPr>
          <w:sz w:val="24"/>
        </w:rPr>
        <w:t>facades</w:t>
      </w:r>
      <w:r>
        <w:rPr>
          <w:spacing w:val="-6"/>
          <w:sz w:val="24"/>
        </w:rPr>
        <w:t> </w:t>
      </w:r>
      <w:r>
        <w:rPr>
          <w:sz w:val="24"/>
        </w:rPr>
        <w:t>and</w:t>
      </w:r>
      <w:r>
        <w:rPr>
          <w:spacing w:val="-5"/>
          <w:sz w:val="24"/>
        </w:rPr>
        <w:t> </w:t>
      </w:r>
      <w:r>
        <w:rPr>
          <w:sz w:val="24"/>
        </w:rPr>
        <w:t>break</w:t>
      </w:r>
      <w:r>
        <w:rPr>
          <w:spacing w:val="-6"/>
          <w:sz w:val="24"/>
        </w:rPr>
        <w:t> </w:t>
      </w:r>
      <w:r>
        <w:rPr>
          <w:sz w:val="24"/>
        </w:rPr>
        <w:t>down</w:t>
      </w:r>
      <w:r>
        <w:rPr>
          <w:spacing w:val="-7"/>
          <w:sz w:val="24"/>
        </w:rPr>
        <w:t> </w:t>
      </w:r>
      <w:r>
        <w:rPr>
          <w:sz w:val="24"/>
        </w:rPr>
        <w:t>the scale</w:t>
      </w:r>
      <w:r>
        <w:rPr>
          <w:spacing w:val="-7"/>
          <w:sz w:val="24"/>
        </w:rPr>
        <w:t> </w:t>
      </w:r>
      <w:r>
        <w:rPr>
          <w:sz w:val="24"/>
        </w:rPr>
        <w:t>of</w:t>
      </w:r>
      <w:r>
        <w:rPr>
          <w:spacing w:val="-7"/>
          <w:sz w:val="24"/>
        </w:rPr>
        <w:t> </w:t>
      </w:r>
      <w:r>
        <w:rPr>
          <w:sz w:val="24"/>
        </w:rPr>
        <w:t>large</w:t>
      </w:r>
      <w:r>
        <w:rPr>
          <w:spacing w:val="-7"/>
          <w:sz w:val="24"/>
        </w:rPr>
        <w:t> </w:t>
      </w:r>
      <w:r>
        <w:rPr>
          <w:sz w:val="24"/>
        </w:rPr>
        <w:t>buildings</w:t>
      </w:r>
      <w:r>
        <w:rPr>
          <w:spacing w:val="-6"/>
          <w:sz w:val="24"/>
        </w:rPr>
        <w:t> </w:t>
      </w:r>
      <w:r>
        <w:rPr>
          <w:sz w:val="24"/>
        </w:rPr>
        <w:t>and</w:t>
      </w:r>
      <w:r>
        <w:rPr>
          <w:spacing w:val="-6"/>
          <w:sz w:val="24"/>
        </w:rPr>
        <w:t> </w:t>
      </w:r>
      <w:r>
        <w:rPr>
          <w:sz w:val="24"/>
        </w:rPr>
        <w:t>commercial/retail</w:t>
      </w:r>
      <w:r>
        <w:rPr>
          <w:spacing w:val="-6"/>
          <w:sz w:val="24"/>
        </w:rPr>
        <w:t> </w:t>
      </w:r>
      <w:r>
        <w:rPr>
          <w:sz w:val="24"/>
        </w:rPr>
        <w:t>centers.</w:t>
      </w:r>
      <w:r>
        <w:rPr>
          <w:spacing w:val="-4"/>
          <w:sz w:val="24"/>
        </w:rPr>
        <w:t> </w:t>
      </w:r>
      <w:r>
        <w:rPr>
          <w:sz w:val="24"/>
        </w:rPr>
        <w:t>It</w:t>
      </w:r>
      <w:r>
        <w:rPr>
          <w:spacing w:val="-6"/>
          <w:sz w:val="24"/>
        </w:rPr>
        <w:t> </w:t>
      </w:r>
      <w:r>
        <w:rPr>
          <w:sz w:val="24"/>
        </w:rPr>
        <w:t>is</w:t>
      </w:r>
      <w:r>
        <w:rPr>
          <w:spacing w:val="-6"/>
          <w:sz w:val="24"/>
        </w:rPr>
        <w:t> </w:t>
      </w:r>
      <w:r>
        <w:rPr>
          <w:sz w:val="24"/>
        </w:rPr>
        <w:t>desirable</w:t>
      </w:r>
      <w:r>
        <w:rPr>
          <w:spacing w:val="-7"/>
          <w:sz w:val="24"/>
        </w:rPr>
        <w:t> </w:t>
      </w:r>
      <w:r>
        <w:rPr>
          <w:sz w:val="24"/>
        </w:rPr>
        <w:t>that</w:t>
      </w:r>
      <w:r>
        <w:rPr>
          <w:spacing w:val="-6"/>
          <w:sz w:val="24"/>
        </w:rPr>
        <w:t> </w:t>
      </w:r>
      <w:r>
        <w:rPr>
          <w:sz w:val="24"/>
        </w:rPr>
        <w:t>building</w:t>
      </w:r>
      <w:r>
        <w:rPr>
          <w:spacing w:val="-8"/>
          <w:sz w:val="24"/>
        </w:rPr>
        <w:t> </w:t>
      </w:r>
      <w:r>
        <w:rPr>
          <w:sz w:val="24"/>
        </w:rPr>
        <w:t>facades should incorporate wall relief, recesses, off-sets, angular forms, or other features to</w:t>
      </w:r>
      <w:r>
        <w:rPr>
          <w:spacing w:val="-41"/>
          <w:sz w:val="24"/>
        </w:rPr>
        <w:t> </w:t>
      </w:r>
      <w:r>
        <w:rPr>
          <w:sz w:val="24"/>
        </w:rPr>
        <w:t>avoid presenting a "blank side" to neighboring</w:t>
      </w:r>
      <w:r>
        <w:rPr>
          <w:spacing w:val="-6"/>
          <w:sz w:val="24"/>
        </w:rPr>
        <w:t> </w:t>
      </w:r>
      <w:r>
        <w:rPr>
          <w:sz w:val="24"/>
        </w:rPr>
        <w:t>properties.</w:t>
      </w:r>
    </w:p>
    <w:p>
      <w:pPr>
        <w:pStyle w:val="ListParagraph"/>
        <w:numPr>
          <w:ilvl w:val="0"/>
          <w:numId w:val="17"/>
        </w:numPr>
        <w:tabs>
          <w:tab w:pos="2251" w:val="left" w:leader="none"/>
          <w:tab w:pos="2252" w:val="left" w:leader="none"/>
        </w:tabs>
        <w:spacing w:line="240" w:lineRule="auto" w:before="0" w:after="0"/>
        <w:ind w:left="2251" w:right="0" w:hanging="451"/>
        <w:jc w:val="left"/>
        <w:rPr>
          <w:sz w:val="24"/>
        </w:rPr>
      </w:pPr>
      <w:r>
        <w:rPr>
          <w:sz w:val="24"/>
        </w:rPr>
        <w:t>Pitched, mansard, and other distinctive roof forms are strongly</w:t>
      </w:r>
      <w:r>
        <w:rPr>
          <w:spacing w:val="-9"/>
          <w:sz w:val="24"/>
        </w:rPr>
        <w:t> </w:t>
      </w:r>
      <w:r>
        <w:rPr>
          <w:sz w:val="24"/>
        </w:rPr>
        <w:t>encouraged.</w:t>
      </w:r>
    </w:p>
    <w:p>
      <w:pPr>
        <w:pStyle w:val="ListParagraph"/>
        <w:numPr>
          <w:ilvl w:val="0"/>
          <w:numId w:val="17"/>
        </w:numPr>
        <w:tabs>
          <w:tab w:pos="2252" w:val="left" w:leader="none"/>
        </w:tabs>
        <w:spacing w:line="259" w:lineRule="auto" w:before="22" w:after="0"/>
        <w:ind w:left="2251" w:right="1435" w:hanging="451"/>
        <w:jc w:val="both"/>
        <w:rPr>
          <w:sz w:val="24"/>
        </w:rPr>
      </w:pPr>
      <w:r>
        <w:rPr/>
        <w:pict>
          <v:shape style="position:absolute;margin-left:90.066002pt;margin-top:11.593125pt;width:395.3pt;height:419pt;mso-position-horizontal-relative:page;mso-position-vertical-relative:paragraph;z-index:-29752" coordorigin="1801,232" coordsize="7906,8380" path="m4498,7496l4492,7422,4477,7344,4455,7261,4432,7192,4402,7120,4367,7045,4325,6967,4276,6886,4236,6827,4200,6777,4200,7462,4197,7519,4185,7575,4167,7633,4138,7693,4097,7755,4044,7821,3979,7891,3674,8196,2216,6738,2517,6438,2598,6362,2672,6302,2740,6258,2801,6232,2868,6217,2941,6213,3020,6220,3105,6238,3195,6267,3255,6293,3317,6325,3380,6363,3446,6408,3514,6460,3584,6518,3656,6583,3729,6654,3789,6716,3844,6776,3896,6835,3943,6893,3986,6949,4024,7005,4059,7058,4101,7133,4136,7205,4163,7275,4183,7342,4196,7406,4200,7462,4200,6777,4194,6768,4148,6708,4098,6647,4045,6586,3989,6525,3929,6463,3865,6401,3801,6342,3737,6287,3673,6236,3643,6213,3609,6188,3546,6143,3482,6102,3419,6064,3346,6027,3274,5994,3203,5967,3132,5945,3062,5928,2992,5916,2923,5909,2850,5907,2779,5914,2709,5929,2642,5952,2577,5982,2528,6010,2476,6047,2420,6093,2359,6147,2294,6210,1801,6703,3710,8611,4124,8196,4226,8094,4287,8029,4341,7964,4386,7898,4424,7831,4454,7765,4476,7699,4491,7632,4498,7564,4498,7496m6418,5902l6056,5775,5650,5632,5561,5603,5475,5579,5393,5560,5364,5554,5314,5545,5239,5535,5193,5534,5143,5537,5089,5544,5030,5554,5074,5485,5109,5415,5136,5346,5154,5277,5164,5209,5165,5141,5157,5073,5139,4995,5111,4919,5075,4844,5030,4771,4976,4701,4956,4678,4913,4632,4872,4594,4872,5151,4868,5207,4854,5262,4830,5318,4794,5377,4747,5438,4687,5501,4413,5775,4280,5908,3649,5277,4102,4824,4166,4767,4229,4724,4293,4694,4358,4679,4422,4678,4501,4693,4577,4723,4649,4768,4718,4827,4761,4875,4797,4926,4827,4979,4851,5036,4867,5094,4872,5151,4872,4594,4849,4572,4782,4520,4713,4475,4641,4436,4566,4404,4474,4376,4386,4363,4303,4365,4225,4381,4163,4406,4098,4442,4030,4490,3958,4550,3883,4621,3248,5256,5157,7164,5346,6974,4499,6127,4718,5908,4753,5874,4783,5846,4810,5825,4833,5811,4863,5797,4896,5787,4932,5779,4971,5775,5014,5775,5066,5780,5125,5790,5194,5807,5256,5824,5328,5845,5407,5870,5496,5899,6180,6140,6418,5902m7780,4540l7415,4345,6555,3891,6555,4198,6070,4683,5989,4540,5748,4109,5708,4038,5668,3966,5629,3901,5590,3836,5550,3772,5509,3709,5467,3647,5424,3585,5380,3525,5436,3560,5498,3598,5564,3638,5635,3680,5792,3771,6555,4198,6555,3891,5862,3525,5286,3218,5082,3422,5277,3772,5316,3843,5701,4540,6168,5389,6441,5880,6642,5679,6565,5545,6298,5077,6221,4943,6481,4683,6820,4345,7565,4756,7780,4540m8131,4190l7264,3323,7489,3097,7936,2651,7711,2426,7039,3097,6448,2507,7224,1730,6999,1505,6033,2471,7941,4379,8131,4190m9707,2614l8213,1120,8024,931,8497,457,8272,232,7138,1366,7363,1592,7834,1120,9517,2803,9707,2614e" filled="true" fillcolor="#c0c0c0" stroked="false">
            <v:path arrowok="t"/>
            <v:fill opacity="32896f" type="solid"/>
            <w10:wrap type="none"/>
          </v:shape>
        </w:pict>
      </w:r>
      <w:r>
        <w:rPr>
          <w:sz w:val="24"/>
        </w:rPr>
        <w:t>Rooftop mechanical equipment will be screened with materials that blend with the architecture and will be perceived as an intergral part of the principal building. Ground mounted mechanical equipment will also be screened either by incorporating it in the building architecture or by</w:t>
      </w:r>
      <w:r>
        <w:rPr>
          <w:spacing w:val="-7"/>
          <w:sz w:val="24"/>
        </w:rPr>
        <w:t> </w:t>
      </w:r>
      <w:r>
        <w:rPr>
          <w:sz w:val="24"/>
        </w:rPr>
        <w:t>landscaping.</w:t>
      </w:r>
    </w:p>
    <w:p>
      <w:pPr>
        <w:pStyle w:val="ListParagraph"/>
        <w:numPr>
          <w:ilvl w:val="0"/>
          <w:numId w:val="17"/>
        </w:numPr>
        <w:tabs>
          <w:tab w:pos="2252" w:val="left" w:leader="none"/>
        </w:tabs>
        <w:spacing w:line="259" w:lineRule="auto" w:before="0" w:after="0"/>
        <w:ind w:left="2251" w:right="1441" w:hanging="451"/>
        <w:jc w:val="both"/>
        <w:rPr>
          <w:sz w:val="24"/>
        </w:rPr>
      </w:pPr>
      <w:r>
        <w:rPr>
          <w:sz w:val="24"/>
        </w:rPr>
        <w:t>Buildings will incorporate covered entrances to provide weather protection for shoppers and create a pedestrian-oriented</w:t>
      </w:r>
      <w:r>
        <w:rPr>
          <w:spacing w:val="-3"/>
          <w:sz w:val="24"/>
        </w:rPr>
        <w:t> </w:t>
      </w:r>
      <w:r>
        <w:rPr>
          <w:sz w:val="24"/>
        </w:rPr>
        <w:t>environment.</w:t>
      </w:r>
    </w:p>
    <w:p>
      <w:pPr>
        <w:pStyle w:val="Heading3"/>
        <w:spacing w:before="9"/>
      </w:pPr>
      <w:r>
        <w:rPr>
          <w:color w:val="396230"/>
        </w:rPr>
        <w:t>Sidewalks, Streets Trees, and Plantings</w:t>
      </w:r>
    </w:p>
    <w:p>
      <w:pPr>
        <w:pStyle w:val="ListParagraph"/>
        <w:numPr>
          <w:ilvl w:val="0"/>
          <w:numId w:val="18"/>
        </w:numPr>
        <w:tabs>
          <w:tab w:pos="2252" w:val="left" w:leader="none"/>
        </w:tabs>
        <w:spacing w:line="259" w:lineRule="auto" w:before="58" w:after="0"/>
        <w:ind w:left="2251" w:right="1440" w:hanging="451"/>
        <w:jc w:val="both"/>
        <w:rPr>
          <w:sz w:val="24"/>
        </w:rPr>
      </w:pPr>
      <w:r>
        <w:rPr>
          <w:sz w:val="24"/>
        </w:rPr>
        <w:t>Large parking areas will be landscaped with trees and shrubs throughout to reduce the visual impact, provide shade, and reduce the heat island effect or heat absorption of the parking</w:t>
      </w:r>
      <w:r>
        <w:rPr>
          <w:spacing w:val="-2"/>
          <w:sz w:val="24"/>
        </w:rPr>
        <w:t> </w:t>
      </w:r>
      <w:r>
        <w:rPr>
          <w:sz w:val="24"/>
        </w:rPr>
        <w:t>area.</w:t>
      </w:r>
    </w:p>
    <w:p>
      <w:pPr>
        <w:pStyle w:val="ListParagraph"/>
        <w:numPr>
          <w:ilvl w:val="0"/>
          <w:numId w:val="18"/>
        </w:numPr>
        <w:tabs>
          <w:tab w:pos="2252" w:val="left" w:leader="none"/>
        </w:tabs>
        <w:spacing w:line="259" w:lineRule="auto" w:before="0" w:after="0"/>
        <w:ind w:left="2251" w:right="1436" w:hanging="451"/>
        <w:jc w:val="both"/>
        <w:rPr>
          <w:sz w:val="24"/>
        </w:rPr>
      </w:pPr>
      <w:r>
        <w:rPr>
          <w:sz w:val="24"/>
        </w:rPr>
        <w:t>The street frontage of development will be landscaped with trees to help create a green edge on both sides of the</w:t>
      </w:r>
      <w:r>
        <w:rPr>
          <w:spacing w:val="-2"/>
          <w:sz w:val="24"/>
        </w:rPr>
        <w:t> </w:t>
      </w:r>
      <w:r>
        <w:rPr>
          <w:sz w:val="24"/>
        </w:rPr>
        <w:t>street.</w:t>
      </w:r>
    </w:p>
    <w:p>
      <w:pPr>
        <w:pStyle w:val="ListParagraph"/>
        <w:numPr>
          <w:ilvl w:val="0"/>
          <w:numId w:val="18"/>
        </w:numPr>
        <w:tabs>
          <w:tab w:pos="2252" w:val="left" w:leader="none"/>
        </w:tabs>
        <w:spacing w:line="259" w:lineRule="auto" w:before="0" w:after="0"/>
        <w:ind w:left="2251" w:right="1439" w:hanging="451"/>
        <w:jc w:val="both"/>
        <w:rPr>
          <w:sz w:val="24"/>
        </w:rPr>
      </w:pPr>
      <w:r>
        <w:rPr>
          <w:sz w:val="24"/>
        </w:rPr>
        <w:t>Existing</w:t>
      </w:r>
      <w:r>
        <w:rPr>
          <w:spacing w:val="-12"/>
          <w:sz w:val="24"/>
        </w:rPr>
        <w:t> </w:t>
      </w:r>
      <w:r>
        <w:rPr>
          <w:sz w:val="24"/>
        </w:rPr>
        <w:t>environmental</w:t>
      </w:r>
      <w:r>
        <w:rPr>
          <w:spacing w:val="-10"/>
          <w:sz w:val="24"/>
        </w:rPr>
        <w:t> </w:t>
      </w:r>
      <w:r>
        <w:rPr>
          <w:sz w:val="24"/>
        </w:rPr>
        <w:t>features</w:t>
      </w:r>
      <w:r>
        <w:rPr>
          <w:spacing w:val="-9"/>
          <w:sz w:val="24"/>
        </w:rPr>
        <w:t> </w:t>
      </w:r>
      <w:r>
        <w:rPr>
          <w:sz w:val="24"/>
        </w:rPr>
        <w:t>such</w:t>
      </w:r>
      <w:r>
        <w:rPr>
          <w:spacing w:val="-10"/>
          <w:sz w:val="24"/>
        </w:rPr>
        <w:t> </w:t>
      </w:r>
      <w:r>
        <w:rPr>
          <w:sz w:val="24"/>
        </w:rPr>
        <w:t>as</w:t>
      </w:r>
      <w:r>
        <w:rPr>
          <w:spacing w:val="-9"/>
          <w:sz w:val="24"/>
        </w:rPr>
        <w:t> </w:t>
      </w:r>
      <w:r>
        <w:rPr>
          <w:sz w:val="24"/>
        </w:rPr>
        <w:t>natural</w:t>
      </w:r>
      <w:r>
        <w:rPr>
          <w:spacing w:val="-9"/>
          <w:sz w:val="24"/>
        </w:rPr>
        <w:t> </w:t>
      </w:r>
      <w:r>
        <w:rPr>
          <w:sz w:val="24"/>
        </w:rPr>
        <w:t>topography,</w:t>
      </w:r>
      <w:r>
        <w:rPr>
          <w:spacing w:val="-10"/>
          <w:sz w:val="24"/>
        </w:rPr>
        <w:t> </w:t>
      </w:r>
      <w:r>
        <w:rPr>
          <w:sz w:val="24"/>
        </w:rPr>
        <w:t>hedgerows,</w:t>
      </w:r>
      <w:r>
        <w:rPr>
          <w:spacing w:val="-10"/>
          <w:sz w:val="24"/>
        </w:rPr>
        <w:t> </w:t>
      </w:r>
      <w:r>
        <w:rPr>
          <w:sz w:val="24"/>
        </w:rPr>
        <w:t>mature</w:t>
      </w:r>
      <w:r>
        <w:rPr>
          <w:spacing w:val="-11"/>
          <w:sz w:val="24"/>
        </w:rPr>
        <w:t> </w:t>
      </w:r>
      <w:r>
        <w:rPr>
          <w:sz w:val="24"/>
        </w:rPr>
        <w:t>trees,</w:t>
      </w:r>
      <w:r>
        <w:rPr>
          <w:spacing w:val="-9"/>
          <w:sz w:val="24"/>
        </w:rPr>
        <w:t> </w:t>
      </w:r>
      <w:r>
        <w:rPr>
          <w:sz w:val="24"/>
        </w:rPr>
        <w:t>and berms</w:t>
      </w:r>
      <w:r>
        <w:rPr>
          <w:spacing w:val="-12"/>
          <w:sz w:val="24"/>
        </w:rPr>
        <w:t> </w:t>
      </w:r>
      <w:r>
        <w:rPr>
          <w:sz w:val="24"/>
        </w:rPr>
        <w:t>will</w:t>
      </w:r>
      <w:r>
        <w:rPr>
          <w:spacing w:val="-11"/>
          <w:sz w:val="24"/>
        </w:rPr>
        <w:t> </w:t>
      </w:r>
      <w:r>
        <w:rPr>
          <w:sz w:val="24"/>
        </w:rPr>
        <w:t>be</w:t>
      </w:r>
      <w:r>
        <w:rPr>
          <w:spacing w:val="-13"/>
          <w:sz w:val="24"/>
        </w:rPr>
        <w:t> </w:t>
      </w:r>
      <w:r>
        <w:rPr>
          <w:sz w:val="24"/>
        </w:rPr>
        <w:t>integrated</w:t>
      </w:r>
      <w:r>
        <w:rPr>
          <w:spacing w:val="-13"/>
          <w:sz w:val="24"/>
        </w:rPr>
        <w:t> </w:t>
      </w:r>
      <w:r>
        <w:rPr>
          <w:sz w:val="24"/>
        </w:rPr>
        <w:t>into</w:t>
      </w:r>
      <w:r>
        <w:rPr>
          <w:spacing w:val="-12"/>
          <w:sz w:val="24"/>
        </w:rPr>
        <w:t> </w:t>
      </w:r>
      <w:r>
        <w:rPr>
          <w:sz w:val="24"/>
        </w:rPr>
        <w:t>the</w:t>
      </w:r>
      <w:r>
        <w:rPr>
          <w:spacing w:val="-13"/>
          <w:sz w:val="24"/>
        </w:rPr>
        <w:t> </w:t>
      </w:r>
      <w:r>
        <w:rPr>
          <w:sz w:val="24"/>
        </w:rPr>
        <w:t>landscape</w:t>
      </w:r>
      <w:r>
        <w:rPr>
          <w:spacing w:val="-13"/>
          <w:sz w:val="24"/>
        </w:rPr>
        <w:t> </w:t>
      </w:r>
      <w:r>
        <w:rPr>
          <w:sz w:val="24"/>
        </w:rPr>
        <w:t>plan</w:t>
      </w:r>
      <w:r>
        <w:rPr>
          <w:spacing w:val="-13"/>
          <w:sz w:val="24"/>
        </w:rPr>
        <w:t> </w:t>
      </w:r>
      <w:r>
        <w:rPr>
          <w:sz w:val="24"/>
        </w:rPr>
        <w:t>for</w:t>
      </w:r>
      <w:r>
        <w:rPr>
          <w:spacing w:val="-14"/>
          <w:sz w:val="24"/>
        </w:rPr>
        <w:t> </w:t>
      </w:r>
      <w:r>
        <w:rPr>
          <w:sz w:val="24"/>
        </w:rPr>
        <w:t>non-residential</w:t>
      </w:r>
      <w:r>
        <w:rPr>
          <w:spacing w:val="-12"/>
          <w:sz w:val="24"/>
        </w:rPr>
        <w:t> </w:t>
      </w:r>
      <w:r>
        <w:rPr>
          <w:sz w:val="24"/>
        </w:rPr>
        <w:t>centers,</w:t>
      </w:r>
      <w:r>
        <w:rPr>
          <w:spacing w:val="-9"/>
          <w:sz w:val="24"/>
        </w:rPr>
        <w:t> </w:t>
      </w:r>
      <w:r>
        <w:rPr>
          <w:sz w:val="24"/>
        </w:rPr>
        <w:t>when</w:t>
      </w:r>
      <w:r>
        <w:rPr>
          <w:spacing w:val="-12"/>
          <w:sz w:val="24"/>
        </w:rPr>
        <w:t> </w:t>
      </w:r>
      <w:r>
        <w:rPr>
          <w:sz w:val="24"/>
        </w:rPr>
        <w:t>feasible.</w:t>
      </w:r>
    </w:p>
    <w:p>
      <w:pPr>
        <w:pStyle w:val="ListParagraph"/>
        <w:numPr>
          <w:ilvl w:val="0"/>
          <w:numId w:val="18"/>
        </w:numPr>
        <w:tabs>
          <w:tab w:pos="2252" w:val="left" w:leader="none"/>
        </w:tabs>
        <w:spacing w:line="259" w:lineRule="auto" w:before="0" w:after="0"/>
        <w:ind w:left="2251" w:right="1434" w:hanging="451"/>
        <w:jc w:val="both"/>
        <w:rPr>
          <w:sz w:val="24"/>
        </w:rPr>
      </w:pPr>
      <w:r>
        <w:rPr>
          <w:sz w:val="24"/>
        </w:rPr>
        <w:t>Non-residential buildings and parking areas will be sufficiently screened and buffered from</w:t>
      </w:r>
      <w:r>
        <w:rPr>
          <w:spacing w:val="-6"/>
          <w:sz w:val="24"/>
        </w:rPr>
        <w:t> </w:t>
      </w:r>
      <w:r>
        <w:rPr>
          <w:sz w:val="24"/>
        </w:rPr>
        <w:t>adjoining</w:t>
      </w:r>
      <w:r>
        <w:rPr>
          <w:spacing w:val="-6"/>
          <w:sz w:val="24"/>
        </w:rPr>
        <w:t> </w:t>
      </w:r>
      <w:r>
        <w:rPr>
          <w:sz w:val="24"/>
        </w:rPr>
        <w:t>residential</w:t>
      </w:r>
      <w:r>
        <w:rPr>
          <w:spacing w:val="-6"/>
          <w:sz w:val="24"/>
        </w:rPr>
        <w:t> </w:t>
      </w:r>
      <w:r>
        <w:rPr>
          <w:sz w:val="24"/>
        </w:rPr>
        <w:t>areas</w:t>
      </w:r>
      <w:r>
        <w:rPr>
          <w:spacing w:val="-6"/>
          <w:sz w:val="24"/>
        </w:rPr>
        <w:t> </w:t>
      </w:r>
      <w:r>
        <w:rPr>
          <w:sz w:val="24"/>
        </w:rPr>
        <w:t>by</w:t>
      </w:r>
      <w:r>
        <w:rPr>
          <w:spacing w:val="-11"/>
          <w:sz w:val="24"/>
        </w:rPr>
        <w:t> </w:t>
      </w:r>
      <w:r>
        <w:rPr>
          <w:sz w:val="24"/>
        </w:rPr>
        <w:t>distance,</w:t>
      </w:r>
      <w:r>
        <w:rPr>
          <w:spacing w:val="-6"/>
          <w:sz w:val="24"/>
        </w:rPr>
        <w:t> </w:t>
      </w:r>
      <w:r>
        <w:rPr>
          <w:sz w:val="24"/>
        </w:rPr>
        <w:t>transitional</w:t>
      </w:r>
      <w:r>
        <w:rPr>
          <w:spacing w:val="-6"/>
          <w:sz w:val="24"/>
        </w:rPr>
        <w:t> </w:t>
      </w:r>
      <w:r>
        <w:rPr>
          <w:sz w:val="24"/>
        </w:rPr>
        <w:t>uses,</w:t>
      </w:r>
      <w:r>
        <w:rPr>
          <w:spacing w:val="-6"/>
          <w:sz w:val="24"/>
        </w:rPr>
        <w:t> </w:t>
      </w:r>
      <w:r>
        <w:rPr>
          <w:sz w:val="24"/>
        </w:rPr>
        <w:t>landscaping,</w:t>
      </w:r>
      <w:r>
        <w:rPr>
          <w:spacing w:val="-2"/>
          <w:sz w:val="24"/>
        </w:rPr>
        <w:t> </w:t>
      </w:r>
      <w:r>
        <w:rPr>
          <w:sz w:val="24"/>
        </w:rPr>
        <w:t>and/or</w:t>
      </w:r>
      <w:r>
        <w:rPr>
          <w:spacing w:val="-7"/>
          <w:sz w:val="24"/>
        </w:rPr>
        <w:t> </w:t>
      </w:r>
      <w:r>
        <w:rPr>
          <w:sz w:val="24"/>
        </w:rPr>
        <w:t>natural vegetation to mitigate the effects of noise, lighting, and traffic on the surrounding residences.</w:t>
      </w:r>
    </w:p>
    <w:p>
      <w:pPr>
        <w:pStyle w:val="ListParagraph"/>
        <w:numPr>
          <w:ilvl w:val="0"/>
          <w:numId w:val="18"/>
        </w:numPr>
        <w:tabs>
          <w:tab w:pos="2252" w:val="left" w:leader="none"/>
        </w:tabs>
        <w:spacing w:line="259" w:lineRule="auto" w:before="0" w:after="0"/>
        <w:ind w:left="2251" w:right="1439" w:hanging="451"/>
        <w:jc w:val="both"/>
        <w:rPr>
          <w:sz w:val="24"/>
        </w:rPr>
      </w:pPr>
      <w:r>
        <w:rPr>
          <w:sz w:val="24"/>
        </w:rPr>
        <w:t>Residential</w:t>
      </w:r>
      <w:r>
        <w:rPr>
          <w:spacing w:val="-6"/>
          <w:sz w:val="24"/>
        </w:rPr>
        <w:t> </w:t>
      </w:r>
      <w:r>
        <w:rPr>
          <w:sz w:val="24"/>
        </w:rPr>
        <w:t>areas</w:t>
      </w:r>
      <w:r>
        <w:rPr>
          <w:spacing w:val="-5"/>
          <w:sz w:val="24"/>
        </w:rPr>
        <w:t> </w:t>
      </w:r>
      <w:r>
        <w:rPr>
          <w:sz w:val="24"/>
        </w:rPr>
        <w:t>will</w:t>
      </w:r>
      <w:r>
        <w:rPr>
          <w:spacing w:val="-5"/>
          <w:sz w:val="24"/>
        </w:rPr>
        <w:t> </w:t>
      </w:r>
      <w:r>
        <w:rPr>
          <w:sz w:val="24"/>
        </w:rPr>
        <w:t>be</w:t>
      </w:r>
      <w:r>
        <w:rPr>
          <w:spacing w:val="-3"/>
          <w:sz w:val="24"/>
        </w:rPr>
        <w:t> </w:t>
      </w:r>
      <w:r>
        <w:rPr>
          <w:sz w:val="24"/>
        </w:rPr>
        <w:t>buffered</w:t>
      </w:r>
      <w:r>
        <w:rPr>
          <w:spacing w:val="-6"/>
          <w:sz w:val="24"/>
        </w:rPr>
        <w:t> </w:t>
      </w:r>
      <w:r>
        <w:rPr>
          <w:sz w:val="24"/>
        </w:rPr>
        <w:t>from</w:t>
      </w:r>
      <w:r>
        <w:rPr>
          <w:spacing w:val="-7"/>
          <w:sz w:val="24"/>
        </w:rPr>
        <w:t> </w:t>
      </w:r>
      <w:r>
        <w:rPr>
          <w:sz w:val="24"/>
        </w:rPr>
        <w:t>adjacent</w:t>
      </w:r>
      <w:r>
        <w:rPr>
          <w:spacing w:val="-6"/>
          <w:sz w:val="24"/>
        </w:rPr>
        <w:t> </w:t>
      </w:r>
      <w:r>
        <w:rPr>
          <w:sz w:val="24"/>
        </w:rPr>
        <w:t>non-residential</w:t>
      </w:r>
      <w:r>
        <w:rPr>
          <w:spacing w:val="-6"/>
          <w:sz w:val="24"/>
        </w:rPr>
        <w:t> </w:t>
      </w:r>
      <w:r>
        <w:rPr>
          <w:sz w:val="24"/>
        </w:rPr>
        <w:t>uses</w:t>
      </w:r>
      <w:r>
        <w:rPr>
          <w:spacing w:val="-6"/>
          <w:sz w:val="24"/>
        </w:rPr>
        <w:t> </w:t>
      </w:r>
      <w:r>
        <w:rPr>
          <w:sz w:val="24"/>
        </w:rPr>
        <w:t>by</w:t>
      </w:r>
      <w:r>
        <w:rPr>
          <w:spacing w:val="-11"/>
          <w:sz w:val="24"/>
        </w:rPr>
        <w:t> </w:t>
      </w:r>
      <w:r>
        <w:rPr>
          <w:sz w:val="24"/>
        </w:rPr>
        <w:t>trees,</w:t>
      </w:r>
      <w:r>
        <w:rPr>
          <w:spacing w:val="-6"/>
          <w:sz w:val="24"/>
        </w:rPr>
        <w:t> </w:t>
      </w:r>
      <w:r>
        <w:rPr>
          <w:sz w:val="24"/>
        </w:rPr>
        <w:t>fences,</w:t>
      </w:r>
      <w:r>
        <w:rPr>
          <w:spacing w:val="-4"/>
          <w:sz w:val="24"/>
        </w:rPr>
        <w:t> </w:t>
      </w:r>
      <w:r>
        <w:rPr>
          <w:sz w:val="24"/>
        </w:rPr>
        <w:t>and hedges.</w:t>
      </w:r>
    </w:p>
    <w:p>
      <w:pPr>
        <w:pStyle w:val="ListParagraph"/>
        <w:numPr>
          <w:ilvl w:val="0"/>
          <w:numId w:val="18"/>
        </w:numPr>
        <w:tabs>
          <w:tab w:pos="2252" w:val="left" w:leader="none"/>
        </w:tabs>
        <w:spacing w:line="259" w:lineRule="auto" w:before="0" w:after="0"/>
        <w:ind w:left="2251" w:right="1438" w:hanging="451"/>
        <w:jc w:val="both"/>
        <w:rPr>
          <w:sz w:val="24"/>
        </w:rPr>
      </w:pPr>
      <w:r>
        <w:rPr>
          <w:sz w:val="24"/>
        </w:rPr>
        <w:t>Sidewalks will be provided to all development to accommodate benches, bikes, strollers, trees, and</w:t>
      </w:r>
      <w:r>
        <w:rPr>
          <w:spacing w:val="-1"/>
          <w:sz w:val="24"/>
        </w:rPr>
        <w:t> </w:t>
      </w:r>
      <w:r>
        <w:rPr>
          <w:sz w:val="24"/>
        </w:rPr>
        <w:t>planters.</w:t>
      </w:r>
    </w:p>
    <w:p>
      <w:pPr>
        <w:pStyle w:val="Heading3"/>
        <w:spacing w:before="8"/>
      </w:pPr>
      <w:r>
        <w:rPr>
          <w:color w:val="396230"/>
        </w:rPr>
        <w:t>Street Furnishings and Lighting</w:t>
      </w:r>
    </w:p>
    <w:p>
      <w:pPr>
        <w:pStyle w:val="ListParagraph"/>
        <w:numPr>
          <w:ilvl w:val="0"/>
          <w:numId w:val="19"/>
        </w:numPr>
        <w:tabs>
          <w:tab w:pos="2252" w:val="left" w:leader="none"/>
        </w:tabs>
        <w:spacing w:line="259" w:lineRule="auto" w:before="57" w:after="0"/>
        <w:ind w:left="2251" w:right="1434" w:hanging="451"/>
        <w:jc w:val="both"/>
        <w:rPr>
          <w:sz w:val="24"/>
        </w:rPr>
      </w:pPr>
      <w:r>
        <w:rPr>
          <w:sz w:val="24"/>
        </w:rPr>
        <w:t>Provide</w:t>
      </w:r>
      <w:r>
        <w:rPr>
          <w:spacing w:val="-16"/>
          <w:sz w:val="24"/>
        </w:rPr>
        <w:t> </w:t>
      </w:r>
      <w:r>
        <w:rPr>
          <w:sz w:val="24"/>
        </w:rPr>
        <w:t>usable</w:t>
      </w:r>
      <w:r>
        <w:rPr>
          <w:spacing w:val="-15"/>
          <w:sz w:val="24"/>
        </w:rPr>
        <w:t> </w:t>
      </w:r>
      <w:r>
        <w:rPr>
          <w:sz w:val="24"/>
        </w:rPr>
        <w:t>space</w:t>
      </w:r>
      <w:r>
        <w:rPr>
          <w:spacing w:val="-15"/>
          <w:sz w:val="24"/>
        </w:rPr>
        <w:t> </w:t>
      </w:r>
      <w:r>
        <w:rPr>
          <w:sz w:val="24"/>
        </w:rPr>
        <w:t>and</w:t>
      </w:r>
      <w:r>
        <w:rPr>
          <w:spacing w:val="-11"/>
          <w:sz w:val="24"/>
        </w:rPr>
        <w:t> </w:t>
      </w:r>
      <w:r>
        <w:rPr>
          <w:sz w:val="24"/>
        </w:rPr>
        <w:t>amenities</w:t>
      </w:r>
      <w:r>
        <w:rPr>
          <w:spacing w:val="-14"/>
          <w:sz w:val="24"/>
        </w:rPr>
        <w:t> </w:t>
      </w:r>
      <w:r>
        <w:rPr>
          <w:sz w:val="24"/>
        </w:rPr>
        <w:t>when</w:t>
      </w:r>
      <w:r>
        <w:rPr>
          <w:spacing w:val="-14"/>
          <w:sz w:val="24"/>
        </w:rPr>
        <w:t> </w:t>
      </w:r>
      <w:r>
        <w:rPr>
          <w:sz w:val="24"/>
        </w:rPr>
        <w:t>planning</w:t>
      </w:r>
      <w:r>
        <w:rPr>
          <w:spacing w:val="-14"/>
          <w:sz w:val="24"/>
        </w:rPr>
        <w:t> </w:t>
      </w:r>
      <w:r>
        <w:rPr>
          <w:sz w:val="24"/>
        </w:rPr>
        <w:t>sidewalks,</w:t>
      </w:r>
      <w:r>
        <w:rPr>
          <w:spacing w:val="32"/>
          <w:sz w:val="24"/>
        </w:rPr>
        <w:t> </w:t>
      </w:r>
      <w:r>
        <w:rPr>
          <w:sz w:val="24"/>
        </w:rPr>
        <w:t>including</w:t>
      </w:r>
      <w:r>
        <w:rPr>
          <w:spacing w:val="-16"/>
          <w:sz w:val="24"/>
        </w:rPr>
        <w:t> </w:t>
      </w:r>
      <w:r>
        <w:rPr>
          <w:sz w:val="24"/>
        </w:rPr>
        <w:t>street</w:t>
      </w:r>
      <w:r>
        <w:rPr>
          <w:spacing w:val="-14"/>
          <w:sz w:val="24"/>
        </w:rPr>
        <w:t> </w:t>
      </w:r>
      <w:r>
        <w:rPr>
          <w:sz w:val="24"/>
        </w:rPr>
        <w:t>furnishings such as benches, trash cans, kiosks, street gardens, bike racks, outdoor sitting spaces,</w:t>
      </w:r>
      <w:r>
        <w:rPr>
          <w:spacing w:val="-24"/>
          <w:sz w:val="24"/>
        </w:rPr>
        <w:t> </w:t>
      </w:r>
      <w:r>
        <w:rPr>
          <w:sz w:val="24"/>
        </w:rPr>
        <w:t>and public</w:t>
      </w:r>
      <w:r>
        <w:rPr>
          <w:spacing w:val="-2"/>
          <w:sz w:val="24"/>
        </w:rPr>
        <w:t> </w:t>
      </w:r>
      <w:r>
        <w:rPr>
          <w:sz w:val="24"/>
        </w:rPr>
        <w:t>art.</w:t>
      </w:r>
    </w:p>
    <w:p>
      <w:pPr>
        <w:pStyle w:val="ListParagraph"/>
        <w:numPr>
          <w:ilvl w:val="0"/>
          <w:numId w:val="19"/>
        </w:numPr>
        <w:tabs>
          <w:tab w:pos="2252" w:val="left" w:leader="none"/>
        </w:tabs>
        <w:spacing w:line="259" w:lineRule="auto" w:before="0" w:after="0"/>
        <w:ind w:left="2251" w:right="1437" w:hanging="451"/>
        <w:jc w:val="both"/>
        <w:rPr>
          <w:sz w:val="24"/>
        </w:rPr>
      </w:pPr>
      <w:r>
        <w:rPr>
          <w:sz w:val="24"/>
        </w:rPr>
        <w:t>Signs</w:t>
      </w:r>
      <w:r>
        <w:rPr>
          <w:spacing w:val="-16"/>
          <w:sz w:val="24"/>
        </w:rPr>
        <w:t> </w:t>
      </w:r>
      <w:r>
        <w:rPr>
          <w:sz w:val="24"/>
        </w:rPr>
        <w:t>for</w:t>
      </w:r>
      <w:r>
        <w:rPr>
          <w:spacing w:val="-17"/>
          <w:sz w:val="24"/>
        </w:rPr>
        <w:t> </w:t>
      </w:r>
      <w:r>
        <w:rPr>
          <w:sz w:val="24"/>
        </w:rPr>
        <w:t>development</w:t>
      </w:r>
      <w:r>
        <w:rPr>
          <w:spacing w:val="-14"/>
          <w:sz w:val="24"/>
        </w:rPr>
        <w:t> </w:t>
      </w:r>
      <w:r>
        <w:rPr>
          <w:sz w:val="24"/>
        </w:rPr>
        <w:t>will</w:t>
      </w:r>
      <w:r>
        <w:rPr>
          <w:spacing w:val="-15"/>
          <w:sz w:val="24"/>
        </w:rPr>
        <w:t> </w:t>
      </w:r>
      <w:r>
        <w:rPr>
          <w:sz w:val="24"/>
        </w:rPr>
        <w:t>be</w:t>
      </w:r>
      <w:r>
        <w:rPr>
          <w:spacing w:val="-17"/>
          <w:sz w:val="24"/>
        </w:rPr>
        <w:t> </w:t>
      </w:r>
      <w:r>
        <w:rPr>
          <w:sz w:val="24"/>
        </w:rPr>
        <w:t>developed</w:t>
      </w:r>
      <w:r>
        <w:rPr>
          <w:spacing w:val="-16"/>
          <w:sz w:val="24"/>
        </w:rPr>
        <w:t> </w:t>
      </w:r>
      <w:r>
        <w:rPr>
          <w:sz w:val="24"/>
        </w:rPr>
        <w:t>as</w:t>
      </w:r>
      <w:r>
        <w:rPr>
          <w:spacing w:val="-16"/>
          <w:sz w:val="24"/>
        </w:rPr>
        <w:t> </w:t>
      </w:r>
      <w:r>
        <w:rPr>
          <w:sz w:val="24"/>
        </w:rPr>
        <w:t>an</w:t>
      </w:r>
      <w:r>
        <w:rPr>
          <w:spacing w:val="-16"/>
          <w:sz w:val="24"/>
        </w:rPr>
        <w:t> </w:t>
      </w:r>
      <w:r>
        <w:rPr>
          <w:sz w:val="24"/>
        </w:rPr>
        <w:t>integral</w:t>
      </w:r>
      <w:r>
        <w:rPr>
          <w:spacing w:val="-15"/>
          <w:sz w:val="24"/>
        </w:rPr>
        <w:t> </w:t>
      </w:r>
      <w:r>
        <w:rPr>
          <w:sz w:val="24"/>
        </w:rPr>
        <w:t>part</w:t>
      </w:r>
      <w:r>
        <w:rPr>
          <w:spacing w:val="-16"/>
          <w:sz w:val="24"/>
        </w:rPr>
        <w:t> </w:t>
      </w:r>
      <w:r>
        <w:rPr>
          <w:sz w:val="24"/>
        </w:rPr>
        <w:t>of</w:t>
      </w:r>
      <w:r>
        <w:rPr>
          <w:spacing w:val="-17"/>
          <w:sz w:val="24"/>
        </w:rPr>
        <w:t> </w:t>
      </w:r>
      <w:r>
        <w:rPr>
          <w:sz w:val="24"/>
        </w:rPr>
        <w:t>the</w:t>
      </w:r>
      <w:r>
        <w:rPr>
          <w:spacing w:val="-16"/>
          <w:sz w:val="24"/>
        </w:rPr>
        <w:t> </w:t>
      </w:r>
      <w:r>
        <w:rPr>
          <w:sz w:val="24"/>
        </w:rPr>
        <w:t>overall</w:t>
      </w:r>
      <w:r>
        <w:rPr>
          <w:spacing w:val="-15"/>
          <w:sz w:val="24"/>
        </w:rPr>
        <w:t> </w:t>
      </w:r>
      <w:r>
        <w:rPr>
          <w:sz w:val="24"/>
        </w:rPr>
        <w:t>design.</w:t>
      </w:r>
      <w:r>
        <w:rPr>
          <w:spacing w:val="-16"/>
          <w:sz w:val="24"/>
        </w:rPr>
        <w:t> </w:t>
      </w:r>
      <w:r>
        <w:rPr>
          <w:sz w:val="24"/>
        </w:rPr>
        <w:t>A</w:t>
      </w:r>
      <w:r>
        <w:rPr>
          <w:spacing w:val="-16"/>
          <w:sz w:val="24"/>
        </w:rPr>
        <w:t> </w:t>
      </w:r>
      <w:r>
        <w:rPr>
          <w:sz w:val="24"/>
        </w:rPr>
        <w:t>unified graphic design scheme is strongly encouraged that is in conformance with an appropriate regulatory</w:t>
      </w:r>
      <w:r>
        <w:rPr>
          <w:spacing w:val="-5"/>
          <w:sz w:val="24"/>
        </w:rPr>
        <w:t> </w:t>
      </w:r>
      <w:r>
        <w:rPr>
          <w:sz w:val="24"/>
        </w:rPr>
        <w:t>framework.</w:t>
      </w:r>
    </w:p>
    <w:p>
      <w:pPr>
        <w:pStyle w:val="ListParagraph"/>
        <w:numPr>
          <w:ilvl w:val="0"/>
          <w:numId w:val="19"/>
        </w:numPr>
        <w:tabs>
          <w:tab w:pos="2252" w:val="left" w:leader="none"/>
        </w:tabs>
        <w:spacing w:line="259" w:lineRule="auto" w:before="0" w:after="0"/>
        <w:ind w:left="2251" w:right="1436" w:hanging="451"/>
        <w:jc w:val="both"/>
        <w:rPr>
          <w:sz w:val="24"/>
        </w:rPr>
      </w:pPr>
      <w:r>
        <w:rPr>
          <w:sz w:val="24"/>
        </w:rPr>
        <w:t>Site and building lighting will reduce glare and spillage of light onto adjoining</w:t>
      </w:r>
      <w:r>
        <w:rPr>
          <w:spacing w:val="-29"/>
          <w:sz w:val="24"/>
        </w:rPr>
        <w:t> </w:t>
      </w:r>
      <w:r>
        <w:rPr>
          <w:sz w:val="24"/>
        </w:rPr>
        <w:t>properties and streets. Fixtures should be attractive site elements that are compatible with the architecture of the</w:t>
      </w:r>
      <w:r>
        <w:rPr>
          <w:spacing w:val="-5"/>
          <w:sz w:val="24"/>
        </w:rPr>
        <w:t> </w:t>
      </w:r>
      <w:r>
        <w:rPr>
          <w:sz w:val="24"/>
        </w:rPr>
        <w:t>development.</w:t>
      </w:r>
    </w:p>
    <w:p>
      <w:pPr>
        <w:pStyle w:val="ListParagraph"/>
        <w:numPr>
          <w:ilvl w:val="0"/>
          <w:numId w:val="19"/>
        </w:numPr>
        <w:tabs>
          <w:tab w:pos="2251" w:val="left" w:leader="none"/>
          <w:tab w:pos="2252" w:val="left" w:leader="none"/>
        </w:tabs>
        <w:spacing w:line="272" w:lineRule="exact" w:before="0" w:after="0"/>
        <w:ind w:left="2251" w:right="0" w:hanging="451"/>
        <w:jc w:val="left"/>
        <w:rPr>
          <w:sz w:val="24"/>
        </w:rPr>
      </w:pPr>
      <w:r>
        <w:rPr>
          <w:sz w:val="24"/>
        </w:rPr>
        <w:t>Both lighting and signs will be designed for pedestrians, bicyclists, and</w:t>
      </w:r>
      <w:r>
        <w:rPr>
          <w:spacing w:val="-2"/>
          <w:sz w:val="24"/>
        </w:rPr>
        <w:t> </w:t>
      </w:r>
      <w:r>
        <w:rPr>
          <w:sz w:val="24"/>
        </w:rPr>
        <w:t>vehicles.</w:t>
      </w:r>
    </w:p>
    <w:p>
      <w:pPr>
        <w:spacing w:after="0" w:line="272" w:lineRule="exact"/>
        <w:jc w:val="left"/>
        <w:rPr>
          <w:sz w:val="24"/>
        </w:rPr>
        <w:sectPr>
          <w:pgSz w:w="12240" w:h="15840"/>
          <w:pgMar w:header="719" w:footer="443" w:top="920" w:bottom="740" w:left="0" w:right="0"/>
        </w:sectPr>
      </w:pPr>
    </w:p>
    <w:p>
      <w:pPr>
        <w:pStyle w:val="BodyText"/>
        <w:rPr>
          <w:sz w:val="20"/>
        </w:rPr>
      </w:pPr>
    </w:p>
    <w:p>
      <w:pPr>
        <w:pStyle w:val="Heading3"/>
        <w:spacing w:before="238"/>
      </w:pPr>
      <w:r>
        <w:rPr>
          <w:color w:val="396230"/>
        </w:rPr>
        <w:t>Parking, Circulation, and Loading</w:t>
      </w:r>
    </w:p>
    <w:p>
      <w:pPr>
        <w:pStyle w:val="ListParagraph"/>
        <w:numPr>
          <w:ilvl w:val="0"/>
          <w:numId w:val="20"/>
        </w:numPr>
        <w:tabs>
          <w:tab w:pos="2161" w:val="left" w:leader="none"/>
        </w:tabs>
        <w:spacing w:line="259" w:lineRule="auto" w:before="55" w:after="0"/>
        <w:ind w:left="2160" w:right="1439" w:hanging="360"/>
        <w:jc w:val="both"/>
        <w:rPr>
          <w:sz w:val="24"/>
        </w:rPr>
      </w:pPr>
      <w:r>
        <w:rPr>
          <w:sz w:val="24"/>
        </w:rPr>
        <w:t>All development should strive to create inter-parcel connectivity for pedestrian and vehicular circulation to increase pedestrian activity and decrease vehicular traffic on roadways necessitated by broken inter-parcel</w:t>
      </w:r>
      <w:r>
        <w:rPr>
          <w:spacing w:val="-4"/>
          <w:sz w:val="24"/>
        </w:rPr>
        <w:t> </w:t>
      </w:r>
      <w:r>
        <w:rPr>
          <w:sz w:val="24"/>
        </w:rPr>
        <w:t>connections.</w:t>
      </w:r>
    </w:p>
    <w:p>
      <w:pPr>
        <w:pStyle w:val="ListParagraph"/>
        <w:numPr>
          <w:ilvl w:val="0"/>
          <w:numId w:val="20"/>
        </w:numPr>
        <w:tabs>
          <w:tab w:pos="2161" w:val="left" w:leader="none"/>
        </w:tabs>
        <w:spacing w:line="259" w:lineRule="auto" w:before="0" w:after="0"/>
        <w:ind w:left="2160" w:right="1440" w:hanging="360"/>
        <w:jc w:val="both"/>
        <w:rPr>
          <w:sz w:val="24"/>
        </w:rPr>
      </w:pPr>
      <w:r>
        <w:rPr>
          <w:sz w:val="24"/>
        </w:rPr>
        <w:t>Pedestrian traffic, internal to non-residential centers, should be provided with a safe</w:t>
      </w:r>
      <w:r>
        <w:rPr>
          <w:spacing w:val="-24"/>
          <w:sz w:val="24"/>
        </w:rPr>
        <w:t> </w:t>
      </w:r>
      <w:r>
        <w:rPr>
          <w:sz w:val="24"/>
        </w:rPr>
        <w:t>travel route</w:t>
      </w:r>
      <w:r>
        <w:rPr>
          <w:spacing w:val="-14"/>
          <w:sz w:val="24"/>
        </w:rPr>
        <w:t> </w:t>
      </w:r>
      <w:r>
        <w:rPr>
          <w:sz w:val="24"/>
        </w:rPr>
        <w:t>from</w:t>
      </w:r>
      <w:r>
        <w:rPr>
          <w:spacing w:val="-11"/>
          <w:sz w:val="24"/>
        </w:rPr>
        <w:t> </w:t>
      </w:r>
      <w:r>
        <w:rPr>
          <w:sz w:val="24"/>
        </w:rPr>
        <w:t>the</w:t>
      </w:r>
      <w:r>
        <w:rPr>
          <w:spacing w:val="-13"/>
          <w:sz w:val="24"/>
        </w:rPr>
        <w:t> </w:t>
      </w:r>
      <w:r>
        <w:rPr>
          <w:sz w:val="24"/>
        </w:rPr>
        <w:t>parking</w:t>
      </w:r>
      <w:r>
        <w:rPr>
          <w:spacing w:val="-16"/>
          <w:sz w:val="24"/>
        </w:rPr>
        <w:t> </w:t>
      </w:r>
      <w:r>
        <w:rPr>
          <w:sz w:val="24"/>
        </w:rPr>
        <w:t>area</w:t>
      </w:r>
      <w:r>
        <w:rPr>
          <w:spacing w:val="-13"/>
          <w:sz w:val="24"/>
        </w:rPr>
        <w:t> </w:t>
      </w:r>
      <w:r>
        <w:rPr>
          <w:sz w:val="24"/>
        </w:rPr>
        <w:t>to</w:t>
      </w:r>
      <w:r>
        <w:rPr>
          <w:spacing w:val="-13"/>
          <w:sz w:val="24"/>
        </w:rPr>
        <w:t> </w:t>
      </w:r>
      <w:r>
        <w:rPr>
          <w:sz w:val="24"/>
        </w:rPr>
        <w:t>the</w:t>
      </w:r>
      <w:r>
        <w:rPr>
          <w:spacing w:val="-12"/>
          <w:sz w:val="24"/>
        </w:rPr>
        <w:t> </w:t>
      </w:r>
      <w:r>
        <w:rPr>
          <w:sz w:val="24"/>
        </w:rPr>
        <w:t>building</w:t>
      </w:r>
      <w:r>
        <w:rPr>
          <w:spacing w:val="-13"/>
          <w:sz w:val="24"/>
        </w:rPr>
        <w:t> </w:t>
      </w:r>
      <w:r>
        <w:rPr>
          <w:sz w:val="24"/>
        </w:rPr>
        <w:t>with</w:t>
      </w:r>
      <w:r>
        <w:rPr>
          <w:spacing w:val="-13"/>
          <w:sz w:val="24"/>
        </w:rPr>
        <w:t> </w:t>
      </w:r>
      <w:r>
        <w:rPr>
          <w:sz w:val="24"/>
        </w:rPr>
        <w:t>a</w:t>
      </w:r>
      <w:r>
        <w:rPr>
          <w:spacing w:val="-13"/>
          <w:sz w:val="24"/>
        </w:rPr>
        <w:t> </w:t>
      </w:r>
      <w:r>
        <w:rPr>
          <w:sz w:val="24"/>
        </w:rPr>
        <w:t>demarcated</w:t>
      </w:r>
      <w:r>
        <w:rPr>
          <w:spacing w:val="-13"/>
          <w:sz w:val="24"/>
        </w:rPr>
        <w:t> </w:t>
      </w:r>
      <w:r>
        <w:rPr>
          <w:sz w:val="24"/>
        </w:rPr>
        <w:t>pathway</w:t>
      </w:r>
      <w:r>
        <w:rPr>
          <w:spacing w:val="-16"/>
          <w:sz w:val="24"/>
        </w:rPr>
        <w:t> </w:t>
      </w:r>
      <w:r>
        <w:rPr>
          <w:sz w:val="24"/>
        </w:rPr>
        <w:t>and</w:t>
      </w:r>
      <w:r>
        <w:rPr>
          <w:spacing w:val="-13"/>
          <w:sz w:val="24"/>
        </w:rPr>
        <w:t> </w:t>
      </w:r>
      <w:r>
        <w:rPr>
          <w:sz w:val="24"/>
        </w:rPr>
        <w:t>clear</w:t>
      </w:r>
      <w:r>
        <w:rPr>
          <w:spacing w:val="-13"/>
          <w:sz w:val="24"/>
        </w:rPr>
        <w:t> </w:t>
      </w:r>
      <w:r>
        <w:rPr>
          <w:sz w:val="24"/>
        </w:rPr>
        <w:t>directional signage. Trees and other plantings should be provided along the</w:t>
      </w:r>
      <w:r>
        <w:rPr>
          <w:spacing w:val="-5"/>
          <w:sz w:val="24"/>
        </w:rPr>
        <w:t> </w:t>
      </w:r>
      <w:r>
        <w:rPr>
          <w:sz w:val="24"/>
        </w:rPr>
        <w:t>walkway.</w:t>
      </w:r>
    </w:p>
    <w:p>
      <w:pPr>
        <w:pStyle w:val="ListParagraph"/>
        <w:numPr>
          <w:ilvl w:val="0"/>
          <w:numId w:val="20"/>
        </w:numPr>
        <w:tabs>
          <w:tab w:pos="2161" w:val="left" w:leader="none"/>
        </w:tabs>
        <w:spacing w:line="259" w:lineRule="auto" w:before="0" w:after="0"/>
        <w:ind w:left="2160" w:right="1436" w:hanging="360"/>
        <w:jc w:val="both"/>
        <w:rPr>
          <w:sz w:val="24"/>
        </w:rPr>
      </w:pPr>
      <w:r>
        <w:rPr/>
        <w:pict>
          <v:shape style="position:absolute;margin-left:90.066002pt;margin-top:7.853111pt;width:395.3pt;height:419pt;mso-position-horizontal-relative:page;mso-position-vertical-relative:paragraph;z-index:-29728" coordorigin="1801,157" coordsize="7906,8380" path="m4498,7421l4492,7347,4477,7269,4455,7186,4432,7117,4402,7045,4367,6970,4325,6892,4276,6811,4236,6753,4200,6702,4200,7387,4197,7444,4185,7501,4167,7558,4138,7618,4097,7681,4044,7747,3979,7816,3674,8121,2216,6664,2517,6363,2598,6287,2672,6227,2740,6183,2801,6157,2868,6142,2941,6138,3020,6145,3105,6163,3195,6192,3255,6218,3317,6250,3380,6289,3446,6334,3514,6385,3584,6443,3656,6508,3729,6579,3789,6641,3844,6701,3896,6760,3943,6818,3986,6875,4024,6930,4059,6984,4101,7058,4136,7131,4163,7200,4183,7267,4196,7331,4200,7387,4200,6702,4194,6693,4148,6633,4098,6572,4045,6511,3989,6450,3929,6388,3865,6326,3801,6268,3737,6213,3673,6161,3643,6138,3609,6113,3546,6069,3482,6027,3419,5989,3346,5952,3274,5919,3203,5892,3132,5870,3062,5853,2992,5841,2923,5834,2850,5832,2779,5839,2709,5854,2642,5877,2577,5907,2528,5936,2476,5973,2420,6018,2359,6072,2294,6135,1801,6628,3710,8536,4124,8121,4226,8020,4287,7955,4341,7889,4386,7823,4424,7757,4454,7690,4476,7624,4491,7557,4498,7489,4498,7421m6418,5828l6056,5700,5650,5557,5561,5528,5475,5504,5393,5485,5364,5480,5314,5471,5239,5460,5193,5459,5143,5462,5089,5469,5030,5480,5074,5410,5109,5341,5136,5271,5154,5203,5164,5134,5165,5066,5157,4998,5139,4920,5111,4844,5075,4769,5030,4697,4976,4626,4956,4603,4913,4557,4872,4519,4872,5076,4868,5132,4854,5187,4830,5243,4794,5302,4747,5363,4687,5426,4413,5700,4280,5833,3649,5202,4102,4749,4166,4692,4229,4649,4293,4620,4358,4604,4422,4603,4501,4618,4577,4648,4649,4693,4718,4752,4761,4800,4797,4851,4827,4905,4851,4961,4867,5019,4872,5076,4872,4519,4849,4498,4782,4445,4713,4400,4641,4361,4566,4329,4474,4301,4386,4288,4303,4290,4225,4306,4163,4331,4098,4367,4030,4415,3958,4475,3883,4546,3248,5181,5157,7089,5346,6900,4499,6052,4718,5833,4753,5799,4783,5772,4810,5751,4833,5736,4863,5723,4896,5712,4932,5704,4971,5700,5014,5700,5066,5705,5125,5716,5194,5732,5256,5749,5328,5770,5407,5795,5496,5824,6180,6066,6418,5828m7780,4465l7415,4270,6555,3816,6555,4123,6070,4608,5989,4465,5748,4035,5708,3963,5668,3891,5629,3826,5590,3761,5550,3697,5509,3634,5467,3572,5424,3511,5380,3450,5436,3486,5498,3523,5564,3563,5635,3605,5792,3696,6555,4123,6555,3816,5862,3450,5286,3143,5082,3347,5277,3698,5316,3768,5701,4465,6168,5314,6441,5805,6642,5604,6565,5470,6298,5002,6221,4869,6481,4608,6820,4270,7565,4681,7780,4465m8131,4115l7264,3248,7489,3023,7936,2576,7711,2351,7039,3023,6448,2432,7224,1655,6999,1430,6033,2396,7941,4304,8131,4115m9707,2539l8213,1045,8024,856,8497,382,8272,157,7138,1292,7363,1517,7834,1045,9517,2728,9707,2539e" filled="true" fillcolor="#c0c0c0" stroked="false">
            <v:path arrowok="t"/>
            <v:fill opacity="32896f" type="solid"/>
            <w10:wrap type="none"/>
          </v:shape>
        </w:pict>
      </w:r>
      <w:r>
        <w:rPr>
          <w:sz w:val="24"/>
        </w:rPr>
        <w:t>Parking</w:t>
      </w:r>
      <w:r>
        <w:rPr>
          <w:spacing w:val="-11"/>
          <w:sz w:val="24"/>
        </w:rPr>
        <w:t> </w:t>
      </w:r>
      <w:r>
        <w:rPr>
          <w:sz w:val="24"/>
        </w:rPr>
        <w:t>areas</w:t>
      </w:r>
      <w:r>
        <w:rPr>
          <w:spacing w:val="-7"/>
          <w:sz w:val="24"/>
        </w:rPr>
        <w:t> </w:t>
      </w:r>
      <w:r>
        <w:rPr>
          <w:sz w:val="24"/>
        </w:rPr>
        <w:t>will</w:t>
      </w:r>
      <w:r>
        <w:rPr>
          <w:spacing w:val="-10"/>
          <w:sz w:val="24"/>
        </w:rPr>
        <w:t> </w:t>
      </w:r>
      <w:r>
        <w:rPr>
          <w:sz w:val="24"/>
        </w:rPr>
        <w:t>be</w:t>
      </w:r>
      <w:r>
        <w:rPr>
          <w:spacing w:val="-12"/>
          <w:sz w:val="24"/>
        </w:rPr>
        <w:t> </w:t>
      </w:r>
      <w:r>
        <w:rPr>
          <w:sz w:val="24"/>
        </w:rPr>
        <w:t>visually</w:t>
      </w:r>
      <w:r>
        <w:rPr>
          <w:spacing w:val="-16"/>
          <w:sz w:val="24"/>
        </w:rPr>
        <w:t> </w:t>
      </w:r>
      <w:r>
        <w:rPr>
          <w:sz w:val="24"/>
        </w:rPr>
        <w:t>screened</w:t>
      </w:r>
      <w:r>
        <w:rPr>
          <w:spacing w:val="-9"/>
          <w:sz w:val="24"/>
        </w:rPr>
        <w:t> </w:t>
      </w:r>
      <w:r>
        <w:rPr>
          <w:sz w:val="24"/>
        </w:rPr>
        <w:t>from</w:t>
      </w:r>
      <w:r>
        <w:rPr>
          <w:spacing w:val="-8"/>
          <w:sz w:val="24"/>
        </w:rPr>
        <w:t> </w:t>
      </w:r>
      <w:r>
        <w:rPr>
          <w:sz w:val="24"/>
        </w:rPr>
        <w:t>adjacent</w:t>
      </w:r>
      <w:r>
        <w:rPr>
          <w:spacing w:val="-11"/>
          <w:sz w:val="24"/>
        </w:rPr>
        <w:t> </w:t>
      </w:r>
      <w:r>
        <w:rPr>
          <w:sz w:val="24"/>
        </w:rPr>
        <w:t>streets</w:t>
      </w:r>
      <w:r>
        <w:rPr>
          <w:spacing w:val="-8"/>
          <w:sz w:val="24"/>
        </w:rPr>
        <w:t> </w:t>
      </w:r>
      <w:r>
        <w:rPr>
          <w:sz w:val="24"/>
        </w:rPr>
        <w:t>and</w:t>
      </w:r>
      <w:r>
        <w:rPr>
          <w:spacing w:val="-11"/>
          <w:sz w:val="24"/>
        </w:rPr>
        <w:t> </w:t>
      </w:r>
      <w:r>
        <w:rPr>
          <w:sz w:val="24"/>
        </w:rPr>
        <w:t>residential</w:t>
      </w:r>
      <w:r>
        <w:rPr>
          <w:spacing w:val="-8"/>
          <w:sz w:val="24"/>
        </w:rPr>
        <w:t> </w:t>
      </w:r>
      <w:r>
        <w:rPr>
          <w:sz w:val="24"/>
        </w:rPr>
        <w:t>areas</w:t>
      </w:r>
      <w:r>
        <w:rPr>
          <w:spacing w:val="-9"/>
          <w:sz w:val="24"/>
        </w:rPr>
        <w:t> </w:t>
      </w:r>
      <w:r>
        <w:rPr>
          <w:sz w:val="24"/>
        </w:rPr>
        <w:t>by</w:t>
      </w:r>
      <w:r>
        <w:rPr>
          <w:spacing w:val="-16"/>
          <w:sz w:val="24"/>
        </w:rPr>
        <w:t> </w:t>
      </w:r>
      <w:r>
        <w:rPr>
          <w:sz w:val="24"/>
        </w:rPr>
        <w:t>heavy landscaping, depressing the parking area, constructing earthen berms, and/or other</w:t>
      </w:r>
      <w:r>
        <w:rPr>
          <w:spacing w:val="-16"/>
          <w:sz w:val="24"/>
        </w:rPr>
        <w:t> </w:t>
      </w:r>
      <w:r>
        <w:rPr>
          <w:sz w:val="24"/>
        </w:rPr>
        <w:t>means.</w:t>
      </w:r>
    </w:p>
    <w:p>
      <w:pPr>
        <w:pStyle w:val="ListParagraph"/>
        <w:numPr>
          <w:ilvl w:val="0"/>
          <w:numId w:val="20"/>
        </w:numPr>
        <w:tabs>
          <w:tab w:pos="2161" w:val="left" w:leader="none"/>
        </w:tabs>
        <w:spacing w:line="256" w:lineRule="auto" w:before="0" w:after="0"/>
        <w:ind w:left="2160" w:right="1443" w:hanging="360"/>
        <w:jc w:val="both"/>
        <w:rPr>
          <w:sz w:val="24"/>
        </w:rPr>
      </w:pPr>
      <w:r>
        <w:rPr>
          <w:sz w:val="24"/>
        </w:rPr>
        <w:t>All loading and storage areas must comply with Zoning Ordinance regulations and must be screened from adjacent residential areas by earthen berms, masonry walls, permanent wooden fencing, or dense</w:t>
      </w:r>
      <w:r>
        <w:rPr>
          <w:spacing w:val="-2"/>
          <w:sz w:val="24"/>
        </w:rPr>
        <w:t> </w:t>
      </w:r>
      <w:r>
        <w:rPr>
          <w:sz w:val="24"/>
        </w:rPr>
        <w:t>landscaping.</w:t>
      </w:r>
    </w:p>
    <w:sectPr>
      <w:pgSz w:w="12240" w:h="15840"/>
      <w:pgMar w:header="719" w:footer="443" w:top="920" w:bottom="7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Verdana">
    <w:altName w:val="Verdana"/>
    <w:charset w:val="0"/>
    <w:family w:val="swiss"/>
    <w:pitch w:val="variable"/>
  </w:font>
  <w:font w:name="Ebrima">
    <w:altName w:val="Ebrima"/>
    <w:charset w:val="0"/>
    <w:family w:val="auto"/>
    <w:pitch w:val="variable"/>
  </w:font>
  <w:font w:name="Tahoma">
    <w:altName w:val="Tahoma"/>
    <w:charset w:val="0"/>
    <w:family w:val="swiss"/>
    <w:pitch w:val="variable"/>
  </w:font>
  <w:font w:name="Century Gothic">
    <w:altName w:val="Century Gothic"/>
    <w:charset w:val="0"/>
    <w:family w:val="auto"/>
    <w:pitch w:val="default"/>
  </w:font>
  <w:font w:name="Candara">
    <w:altName w:val="Candar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78.987976pt;margin-top:753.975342pt;width:63.05pt;height:13.05pt;mso-position-horizontal-relative:page;mso-position-vertical-relative:page;z-index:-33304"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38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987976pt;margin-top:753.975342pt;width:63.05pt;height:13.05pt;mso-position-horizontal-relative:page;mso-position-vertical-relative:page;z-index:-33280"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38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33328"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649994pt;margin-top:34.947266pt;width:306.2pt;height:13.05pt;mso-position-horizontal-relative:page;mso-position-vertical-relative:page;z-index:-33256"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5"/>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5"/>
                    <w:sz w:val="18"/>
                  </w:rPr>
                  <w:t>Pl</w:t>
                </w:r>
                <w:r>
                  <w:rPr>
                    <w:rFonts w:ascii="Verdana" w:hAnsi="Verdana"/>
                    <w:color w:val="585858"/>
                    <w:spacing w:val="-52"/>
                    <w:sz w:val="18"/>
                  </w:rPr>
                  <w:t> </w:t>
                </w:r>
                <w:r>
                  <w:rPr>
                    <w:rFonts w:ascii="Verdana" w:hAnsi="Verdana"/>
                    <w:color w:val="585858"/>
                    <w:spacing w:val="5"/>
                    <w:sz w:val="18"/>
                  </w:rPr>
                  <w:t>an</w:t>
                </w:r>
                <w:r>
                  <w:rPr>
                    <w:rFonts w:ascii="Verdana" w:hAnsi="Verdana"/>
                    <w:color w:val="585858"/>
                    <w:spacing w:val="-1"/>
                    <w:sz w:val="18"/>
                  </w:rPr>
                  <w:t> </w:t>
                </w:r>
                <w:r>
                  <w:rPr>
                    <w:rFonts w:ascii="Symbol" w:hAnsi="Symbol"/>
                    <w:color w:val="585858"/>
                    <w:spacing w:val="10"/>
                    <w:sz w:val="18"/>
                  </w:rPr>
                  <w:t></w:t>
                </w:r>
                <w:r>
                  <w:rPr>
                    <w:rFonts w:ascii="Verdana" w:hAnsi="Verdana"/>
                    <w:color w:val="585858"/>
                    <w:spacing w:val="10"/>
                    <w:sz w:val="18"/>
                  </w:rPr>
                  <w:t>Draft</w:t>
                </w:r>
                <w:r>
                  <w:rPr>
                    <w:rFonts w:ascii="Verdana" w:hAnsi="Verdana"/>
                    <w:color w:val="585858"/>
                    <w:spacing w:val="-3"/>
                    <w:sz w:val="18"/>
                  </w:rPr>
                  <w:t> </w:t>
                </w:r>
                <w:r>
                  <w:rPr>
                    <w:rFonts w:ascii="Verdana" w:hAnsi="Verdana"/>
                    <w:color w:val="585858"/>
                    <w:spacing w:val="6"/>
                    <w:sz w:val="18"/>
                  </w:rPr>
                  <w:t>Ver</w:t>
                </w:r>
                <w:r>
                  <w:rPr>
                    <w:rFonts w:ascii="Verdana" w:hAnsi="Verdana"/>
                    <w:color w:val="585858"/>
                    <w:spacing w:val="-51"/>
                    <w:sz w:val="18"/>
                  </w:rPr>
                  <w:t> </w:t>
                </w:r>
                <w:r>
                  <w:rPr>
                    <w:rFonts w:ascii="Verdana" w:hAnsi="Verdana"/>
                    <w:color w:val="585858"/>
                    <w:spacing w:val="5"/>
                    <w:sz w:val="18"/>
                  </w:rPr>
                  <w:t>si</w:t>
                </w:r>
                <w:r>
                  <w:rPr>
                    <w:rFonts w:ascii="Verdana" w:hAnsi="Verdana"/>
                    <w:color w:val="585858"/>
                    <w:spacing w:val="-52"/>
                    <w:sz w:val="18"/>
                  </w:rPr>
                  <w:t> </w:t>
                </w:r>
                <w:r>
                  <w:rPr>
                    <w:rFonts w:ascii="Verdana" w:hAnsi="Verdana"/>
                    <w:color w:val="585858"/>
                    <w:spacing w:val="7"/>
                    <w:sz w:val="18"/>
                  </w:rPr>
                  <w:t>on:</w:t>
                </w:r>
                <w:r>
                  <w:rPr>
                    <w:rFonts w:ascii="Verdana" w:hAnsi="Verdana"/>
                    <w:color w:val="585858"/>
                    <w:spacing w:val="-7"/>
                    <w:sz w:val="18"/>
                  </w:rPr>
                  <w:t> </w:t>
                </w:r>
                <w:r>
                  <w:rPr>
                    <w:rFonts w:ascii="Verdana" w:hAnsi="Verdana"/>
                    <w:color w:val="585858"/>
                    <w:spacing w:val="10"/>
                    <w:sz w:val="18"/>
                  </w:rPr>
                  <w:t>October</w:t>
                </w:r>
                <w:r>
                  <w:rPr>
                    <w:rFonts w:ascii="Verdana" w:hAnsi="Verdana"/>
                    <w:color w:val="585858"/>
                    <w:spacing w:val="-1"/>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160" w:hanging="360"/>
        <w:jc w:val="left"/>
      </w:pPr>
      <w:rPr>
        <w:rFonts w:hint="default" w:ascii="Times New Roman" w:hAnsi="Times New Roman" w:eastAsia="Times New Roman" w:cs="Times New Roman"/>
        <w:spacing w:val="-10"/>
        <w:w w:val="99"/>
        <w:sz w:val="24"/>
        <w:szCs w:val="24"/>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abstractNum w:abstractNumId="18">
    <w:multiLevelType w:val="hybridMultilevel"/>
    <w:lvl w:ilvl="0">
      <w:start w:val="1"/>
      <w:numFmt w:val="decimal"/>
      <w:lvlText w:val="%1."/>
      <w:lvlJc w:val="left"/>
      <w:pPr>
        <w:ind w:left="2251" w:hanging="452"/>
        <w:jc w:val="left"/>
      </w:pPr>
      <w:rPr>
        <w:rFonts w:hint="default" w:ascii="Times New Roman" w:hAnsi="Times New Roman" w:eastAsia="Times New Roman" w:cs="Times New Roman"/>
        <w:spacing w:val="-29"/>
        <w:w w:val="99"/>
        <w:sz w:val="24"/>
        <w:szCs w:val="24"/>
      </w:rPr>
    </w:lvl>
    <w:lvl w:ilvl="1">
      <w:start w:val="0"/>
      <w:numFmt w:val="bullet"/>
      <w:lvlText w:val="•"/>
      <w:lvlJc w:val="left"/>
      <w:pPr>
        <w:ind w:left="3258" w:hanging="452"/>
      </w:pPr>
      <w:rPr>
        <w:rFonts w:hint="default"/>
      </w:rPr>
    </w:lvl>
    <w:lvl w:ilvl="2">
      <w:start w:val="0"/>
      <w:numFmt w:val="bullet"/>
      <w:lvlText w:val="•"/>
      <w:lvlJc w:val="left"/>
      <w:pPr>
        <w:ind w:left="4256" w:hanging="452"/>
      </w:pPr>
      <w:rPr>
        <w:rFonts w:hint="default"/>
      </w:rPr>
    </w:lvl>
    <w:lvl w:ilvl="3">
      <w:start w:val="0"/>
      <w:numFmt w:val="bullet"/>
      <w:lvlText w:val="•"/>
      <w:lvlJc w:val="left"/>
      <w:pPr>
        <w:ind w:left="5254" w:hanging="452"/>
      </w:pPr>
      <w:rPr>
        <w:rFonts w:hint="default"/>
      </w:rPr>
    </w:lvl>
    <w:lvl w:ilvl="4">
      <w:start w:val="0"/>
      <w:numFmt w:val="bullet"/>
      <w:lvlText w:val="•"/>
      <w:lvlJc w:val="left"/>
      <w:pPr>
        <w:ind w:left="6252" w:hanging="452"/>
      </w:pPr>
      <w:rPr>
        <w:rFonts w:hint="default"/>
      </w:rPr>
    </w:lvl>
    <w:lvl w:ilvl="5">
      <w:start w:val="0"/>
      <w:numFmt w:val="bullet"/>
      <w:lvlText w:val="•"/>
      <w:lvlJc w:val="left"/>
      <w:pPr>
        <w:ind w:left="7250" w:hanging="452"/>
      </w:pPr>
      <w:rPr>
        <w:rFonts w:hint="default"/>
      </w:rPr>
    </w:lvl>
    <w:lvl w:ilvl="6">
      <w:start w:val="0"/>
      <w:numFmt w:val="bullet"/>
      <w:lvlText w:val="•"/>
      <w:lvlJc w:val="left"/>
      <w:pPr>
        <w:ind w:left="8248" w:hanging="452"/>
      </w:pPr>
      <w:rPr>
        <w:rFonts w:hint="default"/>
      </w:rPr>
    </w:lvl>
    <w:lvl w:ilvl="7">
      <w:start w:val="0"/>
      <w:numFmt w:val="bullet"/>
      <w:lvlText w:val="•"/>
      <w:lvlJc w:val="left"/>
      <w:pPr>
        <w:ind w:left="9246" w:hanging="452"/>
      </w:pPr>
      <w:rPr>
        <w:rFonts w:hint="default"/>
      </w:rPr>
    </w:lvl>
    <w:lvl w:ilvl="8">
      <w:start w:val="0"/>
      <w:numFmt w:val="bullet"/>
      <w:lvlText w:val="•"/>
      <w:lvlJc w:val="left"/>
      <w:pPr>
        <w:ind w:left="10244" w:hanging="452"/>
      </w:pPr>
      <w:rPr>
        <w:rFonts w:hint="default"/>
      </w:rPr>
    </w:lvl>
  </w:abstractNum>
  <w:abstractNum w:abstractNumId="17">
    <w:multiLevelType w:val="hybridMultilevel"/>
    <w:lvl w:ilvl="0">
      <w:start w:val="1"/>
      <w:numFmt w:val="decimal"/>
      <w:lvlText w:val="%1."/>
      <w:lvlJc w:val="left"/>
      <w:pPr>
        <w:ind w:left="2251" w:hanging="452"/>
        <w:jc w:val="left"/>
      </w:pPr>
      <w:rPr>
        <w:rFonts w:hint="default" w:ascii="Times New Roman" w:hAnsi="Times New Roman" w:eastAsia="Times New Roman" w:cs="Times New Roman"/>
        <w:spacing w:val="-29"/>
        <w:w w:val="99"/>
        <w:sz w:val="24"/>
        <w:szCs w:val="24"/>
      </w:rPr>
    </w:lvl>
    <w:lvl w:ilvl="1">
      <w:start w:val="0"/>
      <w:numFmt w:val="bullet"/>
      <w:lvlText w:val="•"/>
      <w:lvlJc w:val="left"/>
      <w:pPr>
        <w:ind w:left="3258" w:hanging="452"/>
      </w:pPr>
      <w:rPr>
        <w:rFonts w:hint="default"/>
      </w:rPr>
    </w:lvl>
    <w:lvl w:ilvl="2">
      <w:start w:val="0"/>
      <w:numFmt w:val="bullet"/>
      <w:lvlText w:val="•"/>
      <w:lvlJc w:val="left"/>
      <w:pPr>
        <w:ind w:left="4256" w:hanging="452"/>
      </w:pPr>
      <w:rPr>
        <w:rFonts w:hint="default"/>
      </w:rPr>
    </w:lvl>
    <w:lvl w:ilvl="3">
      <w:start w:val="0"/>
      <w:numFmt w:val="bullet"/>
      <w:lvlText w:val="•"/>
      <w:lvlJc w:val="left"/>
      <w:pPr>
        <w:ind w:left="5254" w:hanging="452"/>
      </w:pPr>
      <w:rPr>
        <w:rFonts w:hint="default"/>
      </w:rPr>
    </w:lvl>
    <w:lvl w:ilvl="4">
      <w:start w:val="0"/>
      <w:numFmt w:val="bullet"/>
      <w:lvlText w:val="•"/>
      <w:lvlJc w:val="left"/>
      <w:pPr>
        <w:ind w:left="6252" w:hanging="452"/>
      </w:pPr>
      <w:rPr>
        <w:rFonts w:hint="default"/>
      </w:rPr>
    </w:lvl>
    <w:lvl w:ilvl="5">
      <w:start w:val="0"/>
      <w:numFmt w:val="bullet"/>
      <w:lvlText w:val="•"/>
      <w:lvlJc w:val="left"/>
      <w:pPr>
        <w:ind w:left="7250" w:hanging="452"/>
      </w:pPr>
      <w:rPr>
        <w:rFonts w:hint="default"/>
      </w:rPr>
    </w:lvl>
    <w:lvl w:ilvl="6">
      <w:start w:val="0"/>
      <w:numFmt w:val="bullet"/>
      <w:lvlText w:val="•"/>
      <w:lvlJc w:val="left"/>
      <w:pPr>
        <w:ind w:left="8248" w:hanging="452"/>
      </w:pPr>
      <w:rPr>
        <w:rFonts w:hint="default"/>
      </w:rPr>
    </w:lvl>
    <w:lvl w:ilvl="7">
      <w:start w:val="0"/>
      <w:numFmt w:val="bullet"/>
      <w:lvlText w:val="•"/>
      <w:lvlJc w:val="left"/>
      <w:pPr>
        <w:ind w:left="9246" w:hanging="452"/>
      </w:pPr>
      <w:rPr>
        <w:rFonts w:hint="default"/>
      </w:rPr>
    </w:lvl>
    <w:lvl w:ilvl="8">
      <w:start w:val="0"/>
      <w:numFmt w:val="bullet"/>
      <w:lvlText w:val="•"/>
      <w:lvlJc w:val="left"/>
      <w:pPr>
        <w:ind w:left="10244" w:hanging="452"/>
      </w:pPr>
      <w:rPr>
        <w:rFonts w:hint="default"/>
      </w:rPr>
    </w:lvl>
  </w:abstractNum>
  <w:abstractNum w:abstractNumId="16">
    <w:multiLevelType w:val="hybridMultilevel"/>
    <w:lvl w:ilvl="0">
      <w:start w:val="1"/>
      <w:numFmt w:val="decimal"/>
      <w:lvlText w:val="%1."/>
      <w:lvlJc w:val="left"/>
      <w:pPr>
        <w:ind w:left="2251" w:hanging="452"/>
        <w:jc w:val="left"/>
      </w:pPr>
      <w:rPr>
        <w:rFonts w:hint="default" w:ascii="Times New Roman" w:hAnsi="Times New Roman" w:eastAsia="Times New Roman" w:cs="Times New Roman"/>
        <w:spacing w:val="-29"/>
        <w:w w:val="99"/>
        <w:sz w:val="24"/>
        <w:szCs w:val="24"/>
      </w:rPr>
    </w:lvl>
    <w:lvl w:ilvl="1">
      <w:start w:val="0"/>
      <w:numFmt w:val="bullet"/>
      <w:lvlText w:val="•"/>
      <w:lvlJc w:val="left"/>
      <w:pPr>
        <w:ind w:left="3258" w:hanging="452"/>
      </w:pPr>
      <w:rPr>
        <w:rFonts w:hint="default"/>
      </w:rPr>
    </w:lvl>
    <w:lvl w:ilvl="2">
      <w:start w:val="0"/>
      <w:numFmt w:val="bullet"/>
      <w:lvlText w:val="•"/>
      <w:lvlJc w:val="left"/>
      <w:pPr>
        <w:ind w:left="4256" w:hanging="452"/>
      </w:pPr>
      <w:rPr>
        <w:rFonts w:hint="default"/>
      </w:rPr>
    </w:lvl>
    <w:lvl w:ilvl="3">
      <w:start w:val="0"/>
      <w:numFmt w:val="bullet"/>
      <w:lvlText w:val="•"/>
      <w:lvlJc w:val="left"/>
      <w:pPr>
        <w:ind w:left="5254" w:hanging="452"/>
      </w:pPr>
      <w:rPr>
        <w:rFonts w:hint="default"/>
      </w:rPr>
    </w:lvl>
    <w:lvl w:ilvl="4">
      <w:start w:val="0"/>
      <w:numFmt w:val="bullet"/>
      <w:lvlText w:val="•"/>
      <w:lvlJc w:val="left"/>
      <w:pPr>
        <w:ind w:left="6252" w:hanging="452"/>
      </w:pPr>
      <w:rPr>
        <w:rFonts w:hint="default"/>
      </w:rPr>
    </w:lvl>
    <w:lvl w:ilvl="5">
      <w:start w:val="0"/>
      <w:numFmt w:val="bullet"/>
      <w:lvlText w:val="•"/>
      <w:lvlJc w:val="left"/>
      <w:pPr>
        <w:ind w:left="7250" w:hanging="452"/>
      </w:pPr>
      <w:rPr>
        <w:rFonts w:hint="default"/>
      </w:rPr>
    </w:lvl>
    <w:lvl w:ilvl="6">
      <w:start w:val="0"/>
      <w:numFmt w:val="bullet"/>
      <w:lvlText w:val="•"/>
      <w:lvlJc w:val="left"/>
      <w:pPr>
        <w:ind w:left="8248" w:hanging="452"/>
      </w:pPr>
      <w:rPr>
        <w:rFonts w:hint="default"/>
      </w:rPr>
    </w:lvl>
    <w:lvl w:ilvl="7">
      <w:start w:val="0"/>
      <w:numFmt w:val="bullet"/>
      <w:lvlText w:val="•"/>
      <w:lvlJc w:val="left"/>
      <w:pPr>
        <w:ind w:left="9246" w:hanging="452"/>
      </w:pPr>
      <w:rPr>
        <w:rFonts w:hint="default"/>
      </w:rPr>
    </w:lvl>
    <w:lvl w:ilvl="8">
      <w:start w:val="0"/>
      <w:numFmt w:val="bullet"/>
      <w:lvlText w:val="•"/>
      <w:lvlJc w:val="left"/>
      <w:pPr>
        <w:ind w:left="10244" w:hanging="452"/>
      </w:pPr>
      <w:rPr>
        <w:rFonts w:hint="default"/>
      </w:rPr>
    </w:lvl>
  </w:abstractNum>
  <w:abstractNum w:abstractNumId="15">
    <w:multiLevelType w:val="hybridMultilevel"/>
    <w:lvl w:ilvl="0">
      <w:start w:val="1"/>
      <w:numFmt w:val="decimal"/>
      <w:lvlText w:val="%1."/>
      <w:lvlJc w:val="left"/>
      <w:pPr>
        <w:ind w:left="2160"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abstractNum w:abstractNumId="14">
    <w:multiLevelType w:val="hybridMultilevel"/>
    <w:lvl w:ilvl="0">
      <w:start w:val="1"/>
      <w:numFmt w:val="decimal"/>
      <w:lvlText w:val="%1."/>
      <w:lvlJc w:val="left"/>
      <w:pPr>
        <w:ind w:left="2160"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abstractNum w:abstractNumId="13">
    <w:multiLevelType w:val="hybridMultilevel"/>
    <w:lvl w:ilvl="0">
      <w:start w:val="0"/>
      <w:numFmt w:val="bullet"/>
      <w:lvlText w:val=""/>
      <w:lvlJc w:val="left"/>
      <w:pPr>
        <w:ind w:left="2160" w:hanging="360"/>
      </w:pPr>
      <w:rPr>
        <w:rFonts w:hint="default" w:ascii="Symbol" w:hAnsi="Symbol" w:eastAsia="Symbol" w:cs="Symbol"/>
        <w:w w:val="100"/>
        <w:sz w:val="24"/>
        <w:szCs w:val="24"/>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abstractNum w:abstractNumId="12">
    <w:multiLevelType w:val="hybridMultilevel"/>
    <w:lvl w:ilvl="0">
      <w:start w:val="3"/>
      <w:numFmt w:val="decimal"/>
      <w:lvlText w:val="%1"/>
      <w:lvlJc w:val="left"/>
      <w:pPr>
        <w:ind w:left="2251" w:hanging="452"/>
        <w:jc w:val="left"/>
      </w:pPr>
      <w:rPr>
        <w:rFonts w:hint="default"/>
      </w:rPr>
    </w:lvl>
    <w:lvl w:ilvl="1">
      <w:start w:val="1"/>
      <w:numFmt w:val="decimal"/>
      <w:lvlText w:val="%1.%2."/>
      <w:lvlJc w:val="left"/>
      <w:pPr>
        <w:ind w:left="2251" w:hanging="452"/>
        <w:jc w:val="left"/>
      </w:pPr>
      <w:rPr>
        <w:rFonts w:hint="default" w:ascii="Times New Roman" w:hAnsi="Times New Roman" w:eastAsia="Times New Roman" w:cs="Times New Roman"/>
        <w:spacing w:val="-29"/>
        <w:w w:val="99"/>
        <w:sz w:val="24"/>
        <w:szCs w:val="24"/>
      </w:rPr>
    </w:lvl>
    <w:lvl w:ilvl="2">
      <w:start w:val="1"/>
      <w:numFmt w:val="upperLetter"/>
      <w:lvlText w:val="%3."/>
      <w:lvlJc w:val="left"/>
      <w:pPr>
        <w:ind w:left="252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680" w:hanging="360"/>
      </w:pPr>
      <w:rPr>
        <w:rFonts w:hint="default"/>
      </w:rPr>
    </w:lvl>
    <w:lvl w:ilvl="4">
      <w:start w:val="0"/>
      <w:numFmt w:val="bullet"/>
      <w:lvlText w:val="•"/>
      <w:lvlJc w:val="left"/>
      <w:pPr>
        <w:ind w:left="576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920" w:hanging="360"/>
      </w:pPr>
      <w:rPr>
        <w:rFonts w:hint="default"/>
      </w:rPr>
    </w:lvl>
    <w:lvl w:ilvl="7">
      <w:start w:val="0"/>
      <w:numFmt w:val="bullet"/>
      <w:lvlText w:val="•"/>
      <w:lvlJc w:val="left"/>
      <w:pPr>
        <w:ind w:left="9000" w:hanging="360"/>
      </w:pPr>
      <w:rPr>
        <w:rFonts w:hint="default"/>
      </w:rPr>
    </w:lvl>
    <w:lvl w:ilvl="8">
      <w:start w:val="0"/>
      <w:numFmt w:val="bullet"/>
      <w:lvlText w:val="•"/>
      <w:lvlJc w:val="left"/>
      <w:pPr>
        <w:ind w:left="10080" w:hanging="360"/>
      </w:pPr>
      <w:rPr>
        <w:rFonts w:hint="default"/>
      </w:rPr>
    </w:lvl>
  </w:abstractNum>
  <w:abstractNum w:abstractNumId="11">
    <w:multiLevelType w:val="hybridMultilevel"/>
    <w:lvl w:ilvl="0">
      <w:start w:val="2"/>
      <w:numFmt w:val="decimal"/>
      <w:lvlText w:val="%1"/>
      <w:lvlJc w:val="left"/>
      <w:pPr>
        <w:ind w:left="2340" w:hanging="540"/>
        <w:jc w:val="left"/>
      </w:pPr>
      <w:rPr>
        <w:rFonts w:hint="default"/>
      </w:rPr>
    </w:lvl>
    <w:lvl w:ilvl="1">
      <w:start w:val="1"/>
      <w:numFmt w:val="decimal"/>
      <w:lvlText w:val="%1.%2."/>
      <w:lvlJc w:val="left"/>
      <w:pPr>
        <w:ind w:left="2340" w:hanging="540"/>
        <w:jc w:val="left"/>
      </w:pPr>
      <w:rPr>
        <w:rFonts w:hint="default" w:ascii="Times New Roman" w:hAnsi="Times New Roman" w:eastAsia="Times New Roman" w:cs="Times New Roman"/>
        <w:spacing w:val="-2"/>
        <w:w w:val="99"/>
        <w:sz w:val="24"/>
        <w:szCs w:val="24"/>
      </w:rPr>
    </w:lvl>
    <w:lvl w:ilvl="2">
      <w:start w:val="1"/>
      <w:numFmt w:val="upperLetter"/>
      <w:lvlText w:val="%3."/>
      <w:lvlJc w:val="left"/>
      <w:pPr>
        <w:ind w:left="252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680" w:hanging="360"/>
      </w:pPr>
      <w:rPr>
        <w:rFonts w:hint="default"/>
      </w:rPr>
    </w:lvl>
    <w:lvl w:ilvl="4">
      <w:start w:val="0"/>
      <w:numFmt w:val="bullet"/>
      <w:lvlText w:val="•"/>
      <w:lvlJc w:val="left"/>
      <w:pPr>
        <w:ind w:left="576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920" w:hanging="360"/>
      </w:pPr>
      <w:rPr>
        <w:rFonts w:hint="default"/>
      </w:rPr>
    </w:lvl>
    <w:lvl w:ilvl="7">
      <w:start w:val="0"/>
      <w:numFmt w:val="bullet"/>
      <w:lvlText w:val="•"/>
      <w:lvlJc w:val="left"/>
      <w:pPr>
        <w:ind w:left="9000" w:hanging="360"/>
      </w:pPr>
      <w:rPr>
        <w:rFonts w:hint="default"/>
      </w:rPr>
    </w:lvl>
    <w:lvl w:ilvl="8">
      <w:start w:val="0"/>
      <w:numFmt w:val="bullet"/>
      <w:lvlText w:val="•"/>
      <w:lvlJc w:val="left"/>
      <w:pPr>
        <w:ind w:left="10080" w:hanging="360"/>
      </w:pPr>
      <w:rPr>
        <w:rFonts w:hint="default"/>
      </w:rPr>
    </w:lvl>
  </w:abstractNum>
  <w:abstractNum w:abstractNumId="10">
    <w:multiLevelType w:val="hybridMultilevel"/>
    <w:lvl w:ilvl="0">
      <w:start w:val="1"/>
      <w:numFmt w:val="decimal"/>
      <w:lvlText w:val="%1"/>
      <w:lvlJc w:val="left"/>
      <w:pPr>
        <w:ind w:left="2340" w:hanging="540"/>
        <w:jc w:val="left"/>
      </w:pPr>
      <w:rPr>
        <w:rFonts w:hint="default"/>
      </w:rPr>
    </w:lvl>
    <w:lvl w:ilvl="1">
      <w:start w:val="1"/>
      <w:numFmt w:val="decimal"/>
      <w:lvlText w:val="%1.%2."/>
      <w:lvlJc w:val="left"/>
      <w:pPr>
        <w:ind w:left="2340" w:hanging="540"/>
        <w:jc w:val="left"/>
      </w:pPr>
      <w:rPr>
        <w:rFonts w:hint="default" w:ascii="Times New Roman" w:hAnsi="Times New Roman" w:eastAsia="Times New Roman" w:cs="Times New Roman"/>
        <w:spacing w:val="-2"/>
        <w:w w:val="99"/>
        <w:sz w:val="24"/>
        <w:szCs w:val="24"/>
      </w:rPr>
    </w:lvl>
    <w:lvl w:ilvl="2">
      <w:start w:val="1"/>
      <w:numFmt w:val="upperLetter"/>
      <w:lvlText w:val="%3."/>
      <w:lvlJc w:val="left"/>
      <w:pPr>
        <w:ind w:left="252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680" w:hanging="360"/>
      </w:pPr>
      <w:rPr>
        <w:rFonts w:hint="default"/>
      </w:rPr>
    </w:lvl>
    <w:lvl w:ilvl="4">
      <w:start w:val="0"/>
      <w:numFmt w:val="bullet"/>
      <w:lvlText w:val="•"/>
      <w:lvlJc w:val="left"/>
      <w:pPr>
        <w:ind w:left="576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920" w:hanging="360"/>
      </w:pPr>
      <w:rPr>
        <w:rFonts w:hint="default"/>
      </w:rPr>
    </w:lvl>
    <w:lvl w:ilvl="7">
      <w:start w:val="0"/>
      <w:numFmt w:val="bullet"/>
      <w:lvlText w:val="•"/>
      <w:lvlJc w:val="left"/>
      <w:pPr>
        <w:ind w:left="9000" w:hanging="360"/>
      </w:pPr>
      <w:rPr>
        <w:rFonts w:hint="default"/>
      </w:rPr>
    </w:lvl>
    <w:lvl w:ilvl="8">
      <w:start w:val="0"/>
      <w:numFmt w:val="bullet"/>
      <w:lvlText w:val="•"/>
      <w:lvlJc w:val="left"/>
      <w:pPr>
        <w:ind w:left="10080" w:hanging="360"/>
      </w:pPr>
      <w:rPr>
        <w:rFonts w:hint="default"/>
      </w:rPr>
    </w:lvl>
  </w:abstractNum>
  <w:abstractNum w:abstractNumId="9">
    <w:multiLevelType w:val="hybridMultilevel"/>
    <w:lvl w:ilvl="0">
      <w:start w:val="0"/>
      <w:numFmt w:val="bullet"/>
      <w:lvlText w:val="•"/>
      <w:lvlJc w:val="left"/>
      <w:pPr>
        <w:ind w:left="544" w:hanging="180"/>
      </w:pPr>
      <w:rPr>
        <w:rFonts w:hint="default" w:ascii="Calibri" w:hAnsi="Calibri" w:eastAsia="Calibri" w:cs="Calibri"/>
        <w:color w:val="221F1F"/>
        <w:w w:val="97"/>
        <w:sz w:val="19"/>
        <w:szCs w:val="19"/>
      </w:rPr>
    </w:lvl>
    <w:lvl w:ilvl="1">
      <w:start w:val="0"/>
      <w:numFmt w:val="bullet"/>
      <w:lvlText w:val="•"/>
      <w:lvlJc w:val="left"/>
      <w:pPr>
        <w:ind w:left="755" w:hanging="180"/>
      </w:pPr>
      <w:rPr>
        <w:rFonts w:hint="default"/>
      </w:rPr>
    </w:lvl>
    <w:lvl w:ilvl="2">
      <w:start w:val="0"/>
      <w:numFmt w:val="bullet"/>
      <w:lvlText w:val="•"/>
      <w:lvlJc w:val="left"/>
      <w:pPr>
        <w:ind w:left="970" w:hanging="180"/>
      </w:pPr>
      <w:rPr>
        <w:rFonts w:hint="default"/>
      </w:rPr>
    </w:lvl>
    <w:lvl w:ilvl="3">
      <w:start w:val="0"/>
      <w:numFmt w:val="bullet"/>
      <w:lvlText w:val="•"/>
      <w:lvlJc w:val="left"/>
      <w:pPr>
        <w:ind w:left="1185" w:hanging="180"/>
      </w:pPr>
      <w:rPr>
        <w:rFonts w:hint="default"/>
      </w:rPr>
    </w:lvl>
    <w:lvl w:ilvl="4">
      <w:start w:val="0"/>
      <w:numFmt w:val="bullet"/>
      <w:lvlText w:val="•"/>
      <w:lvlJc w:val="left"/>
      <w:pPr>
        <w:ind w:left="1400" w:hanging="180"/>
      </w:pPr>
      <w:rPr>
        <w:rFonts w:hint="default"/>
      </w:rPr>
    </w:lvl>
    <w:lvl w:ilvl="5">
      <w:start w:val="0"/>
      <w:numFmt w:val="bullet"/>
      <w:lvlText w:val="•"/>
      <w:lvlJc w:val="left"/>
      <w:pPr>
        <w:ind w:left="1615" w:hanging="180"/>
      </w:pPr>
      <w:rPr>
        <w:rFonts w:hint="default"/>
      </w:rPr>
    </w:lvl>
    <w:lvl w:ilvl="6">
      <w:start w:val="0"/>
      <w:numFmt w:val="bullet"/>
      <w:lvlText w:val="•"/>
      <w:lvlJc w:val="left"/>
      <w:pPr>
        <w:ind w:left="1830" w:hanging="180"/>
      </w:pPr>
      <w:rPr>
        <w:rFonts w:hint="default"/>
      </w:rPr>
    </w:lvl>
    <w:lvl w:ilvl="7">
      <w:start w:val="0"/>
      <w:numFmt w:val="bullet"/>
      <w:lvlText w:val="•"/>
      <w:lvlJc w:val="left"/>
      <w:pPr>
        <w:ind w:left="2045" w:hanging="180"/>
      </w:pPr>
      <w:rPr>
        <w:rFonts w:hint="default"/>
      </w:rPr>
    </w:lvl>
    <w:lvl w:ilvl="8">
      <w:start w:val="0"/>
      <w:numFmt w:val="bullet"/>
      <w:lvlText w:val="•"/>
      <w:lvlJc w:val="left"/>
      <w:pPr>
        <w:ind w:left="2260" w:hanging="180"/>
      </w:pPr>
      <w:rPr>
        <w:rFonts w:hint="default"/>
      </w:rPr>
    </w:lvl>
  </w:abstractNum>
  <w:abstractNum w:abstractNumId="8">
    <w:multiLevelType w:val="hybridMultilevel"/>
    <w:lvl w:ilvl="0">
      <w:start w:val="0"/>
      <w:numFmt w:val="bullet"/>
      <w:lvlText w:val="•"/>
      <w:lvlJc w:val="left"/>
      <w:pPr>
        <w:ind w:left="689" w:hanging="180"/>
      </w:pPr>
      <w:rPr>
        <w:rFonts w:hint="default" w:ascii="Calibri" w:hAnsi="Calibri" w:eastAsia="Calibri" w:cs="Calibri"/>
        <w:color w:val="221F1F"/>
        <w:w w:val="99"/>
        <w:sz w:val="19"/>
        <w:szCs w:val="19"/>
      </w:rPr>
    </w:lvl>
    <w:lvl w:ilvl="1">
      <w:start w:val="0"/>
      <w:numFmt w:val="bullet"/>
      <w:lvlText w:val="•"/>
      <w:lvlJc w:val="left"/>
      <w:pPr>
        <w:ind w:left="970" w:hanging="180"/>
      </w:pPr>
      <w:rPr>
        <w:rFonts w:hint="default"/>
      </w:rPr>
    </w:lvl>
    <w:lvl w:ilvl="2">
      <w:start w:val="0"/>
      <w:numFmt w:val="bullet"/>
      <w:lvlText w:val="•"/>
      <w:lvlJc w:val="left"/>
      <w:pPr>
        <w:ind w:left="1261" w:hanging="180"/>
      </w:pPr>
      <w:rPr>
        <w:rFonts w:hint="default"/>
      </w:rPr>
    </w:lvl>
    <w:lvl w:ilvl="3">
      <w:start w:val="0"/>
      <w:numFmt w:val="bullet"/>
      <w:lvlText w:val="•"/>
      <w:lvlJc w:val="left"/>
      <w:pPr>
        <w:ind w:left="1551" w:hanging="180"/>
      </w:pPr>
      <w:rPr>
        <w:rFonts w:hint="default"/>
      </w:rPr>
    </w:lvl>
    <w:lvl w:ilvl="4">
      <w:start w:val="0"/>
      <w:numFmt w:val="bullet"/>
      <w:lvlText w:val="•"/>
      <w:lvlJc w:val="left"/>
      <w:pPr>
        <w:ind w:left="1842" w:hanging="180"/>
      </w:pPr>
      <w:rPr>
        <w:rFonts w:hint="default"/>
      </w:rPr>
    </w:lvl>
    <w:lvl w:ilvl="5">
      <w:start w:val="0"/>
      <w:numFmt w:val="bullet"/>
      <w:lvlText w:val="•"/>
      <w:lvlJc w:val="left"/>
      <w:pPr>
        <w:ind w:left="2133" w:hanging="180"/>
      </w:pPr>
      <w:rPr>
        <w:rFonts w:hint="default"/>
      </w:rPr>
    </w:lvl>
    <w:lvl w:ilvl="6">
      <w:start w:val="0"/>
      <w:numFmt w:val="bullet"/>
      <w:lvlText w:val="•"/>
      <w:lvlJc w:val="left"/>
      <w:pPr>
        <w:ind w:left="2423" w:hanging="180"/>
      </w:pPr>
      <w:rPr>
        <w:rFonts w:hint="default"/>
      </w:rPr>
    </w:lvl>
    <w:lvl w:ilvl="7">
      <w:start w:val="0"/>
      <w:numFmt w:val="bullet"/>
      <w:lvlText w:val="•"/>
      <w:lvlJc w:val="left"/>
      <w:pPr>
        <w:ind w:left="2714" w:hanging="180"/>
      </w:pPr>
      <w:rPr>
        <w:rFonts w:hint="default"/>
      </w:rPr>
    </w:lvl>
    <w:lvl w:ilvl="8">
      <w:start w:val="0"/>
      <w:numFmt w:val="bullet"/>
      <w:lvlText w:val="•"/>
      <w:lvlJc w:val="left"/>
      <w:pPr>
        <w:ind w:left="3004" w:hanging="180"/>
      </w:pPr>
      <w:rPr>
        <w:rFonts w:hint="default"/>
      </w:rPr>
    </w:lvl>
  </w:abstractNum>
  <w:abstractNum w:abstractNumId="7">
    <w:multiLevelType w:val="hybridMultilevel"/>
    <w:lvl w:ilvl="0">
      <w:start w:val="0"/>
      <w:numFmt w:val="bullet"/>
      <w:lvlText w:val="•"/>
      <w:lvlJc w:val="left"/>
      <w:pPr>
        <w:ind w:left="832" w:hanging="360"/>
      </w:pPr>
      <w:rPr>
        <w:rFonts w:hint="default" w:ascii="Times New Roman" w:hAnsi="Times New Roman" w:eastAsia="Times New Roman" w:cs="Times New Roman"/>
        <w:w w:val="100"/>
        <w:sz w:val="22"/>
        <w:szCs w:val="22"/>
      </w:rPr>
    </w:lvl>
    <w:lvl w:ilvl="1">
      <w:start w:val="0"/>
      <w:numFmt w:val="bullet"/>
      <w:lvlText w:val="•"/>
      <w:lvlJc w:val="left"/>
      <w:pPr>
        <w:ind w:left="1067" w:hanging="360"/>
      </w:pPr>
      <w:rPr>
        <w:rFonts w:hint="default"/>
      </w:rPr>
    </w:lvl>
    <w:lvl w:ilvl="2">
      <w:start w:val="0"/>
      <w:numFmt w:val="bullet"/>
      <w:lvlText w:val="•"/>
      <w:lvlJc w:val="left"/>
      <w:pPr>
        <w:ind w:left="1295" w:hanging="360"/>
      </w:pPr>
      <w:rPr>
        <w:rFonts w:hint="default"/>
      </w:rPr>
    </w:lvl>
    <w:lvl w:ilvl="3">
      <w:start w:val="0"/>
      <w:numFmt w:val="bullet"/>
      <w:lvlText w:val="•"/>
      <w:lvlJc w:val="left"/>
      <w:pPr>
        <w:ind w:left="1522" w:hanging="360"/>
      </w:pPr>
      <w:rPr>
        <w:rFonts w:hint="default"/>
      </w:rPr>
    </w:lvl>
    <w:lvl w:ilvl="4">
      <w:start w:val="0"/>
      <w:numFmt w:val="bullet"/>
      <w:lvlText w:val="•"/>
      <w:lvlJc w:val="left"/>
      <w:pPr>
        <w:ind w:left="1750" w:hanging="360"/>
      </w:pPr>
      <w:rPr>
        <w:rFonts w:hint="default"/>
      </w:rPr>
    </w:lvl>
    <w:lvl w:ilvl="5">
      <w:start w:val="0"/>
      <w:numFmt w:val="bullet"/>
      <w:lvlText w:val="•"/>
      <w:lvlJc w:val="left"/>
      <w:pPr>
        <w:ind w:left="1977" w:hanging="360"/>
      </w:pPr>
      <w:rPr>
        <w:rFonts w:hint="default"/>
      </w:rPr>
    </w:lvl>
    <w:lvl w:ilvl="6">
      <w:start w:val="0"/>
      <w:numFmt w:val="bullet"/>
      <w:lvlText w:val="•"/>
      <w:lvlJc w:val="left"/>
      <w:pPr>
        <w:ind w:left="2205" w:hanging="360"/>
      </w:pPr>
      <w:rPr>
        <w:rFonts w:hint="default"/>
      </w:rPr>
    </w:lvl>
    <w:lvl w:ilvl="7">
      <w:start w:val="0"/>
      <w:numFmt w:val="bullet"/>
      <w:lvlText w:val="•"/>
      <w:lvlJc w:val="left"/>
      <w:pPr>
        <w:ind w:left="2432" w:hanging="360"/>
      </w:pPr>
      <w:rPr>
        <w:rFonts w:hint="default"/>
      </w:rPr>
    </w:lvl>
    <w:lvl w:ilvl="8">
      <w:start w:val="0"/>
      <w:numFmt w:val="bullet"/>
      <w:lvlText w:val="•"/>
      <w:lvlJc w:val="left"/>
      <w:pPr>
        <w:ind w:left="2660" w:hanging="360"/>
      </w:pPr>
      <w:rPr>
        <w:rFonts w:hint="default"/>
      </w:rPr>
    </w:lvl>
  </w:abstractNum>
  <w:abstractNum w:abstractNumId="6">
    <w:multiLevelType w:val="hybridMultilevel"/>
    <w:lvl w:ilvl="0">
      <w:start w:val="0"/>
      <w:numFmt w:val="bullet"/>
      <w:lvlText w:val="•"/>
      <w:lvlJc w:val="left"/>
      <w:pPr>
        <w:ind w:left="803" w:hanging="360"/>
      </w:pPr>
      <w:rPr>
        <w:rFonts w:hint="default" w:ascii="Times New Roman" w:hAnsi="Times New Roman" w:eastAsia="Times New Roman" w:cs="Times New Roman"/>
        <w:w w:val="100"/>
        <w:sz w:val="22"/>
        <w:szCs w:val="22"/>
      </w:rPr>
    </w:lvl>
    <w:lvl w:ilvl="1">
      <w:start w:val="0"/>
      <w:numFmt w:val="bullet"/>
      <w:lvlText w:val="•"/>
      <w:lvlJc w:val="left"/>
      <w:pPr>
        <w:ind w:left="1031" w:hanging="360"/>
      </w:pPr>
      <w:rPr>
        <w:rFonts w:hint="default"/>
      </w:rPr>
    </w:lvl>
    <w:lvl w:ilvl="2">
      <w:start w:val="0"/>
      <w:numFmt w:val="bullet"/>
      <w:lvlText w:val="•"/>
      <w:lvlJc w:val="left"/>
      <w:pPr>
        <w:ind w:left="1262" w:hanging="360"/>
      </w:pPr>
      <w:rPr>
        <w:rFonts w:hint="default"/>
      </w:rPr>
    </w:lvl>
    <w:lvl w:ilvl="3">
      <w:start w:val="0"/>
      <w:numFmt w:val="bullet"/>
      <w:lvlText w:val="•"/>
      <w:lvlJc w:val="left"/>
      <w:pPr>
        <w:ind w:left="1493" w:hanging="360"/>
      </w:pPr>
      <w:rPr>
        <w:rFonts w:hint="default"/>
      </w:rPr>
    </w:lvl>
    <w:lvl w:ilvl="4">
      <w:start w:val="0"/>
      <w:numFmt w:val="bullet"/>
      <w:lvlText w:val="•"/>
      <w:lvlJc w:val="left"/>
      <w:pPr>
        <w:ind w:left="1725" w:hanging="360"/>
      </w:pPr>
      <w:rPr>
        <w:rFonts w:hint="default"/>
      </w:rPr>
    </w:lvl>
    <w:lvl w:ilvl="5">
      <w:start w:val="0"/>
      <w:numFmt w:val="bullet"/>
      <w:lvlText w:val="•"/>
      <w:lvlJc w:val="left"/>
      <w:pPr>
        <w:ind w:left="1956" w:hanging="360"/>
      </w:pPr>
      <w:rPr>
        <w:rFonts w:hint="default"/>
      </w:rPr>
    </w:lvl>
    <w:lvl w:ilvl="6">
      <w:start w:val="0"/>
      <w:numFmt w:val="bullet"/>
      <w:lvlText w:val="•"/>
      <w:lvlJc w:val="left"/>
      <w:pPr>
        <w:ind w:left="2187" w:hanging="360"/>
      </w:pPr>
      <w:rPr>
        <w:rFonts w:hint="default"/>
      </w:rPr>
    </w:lvl>
    <w:lvl w:ilvl="7">
      <w:start w:val="0"/>
      <w:numFmt w:val="bullet"/>
      <w:lvlText w:val="•"/>
      <w:lvlJc w:val="left"/>
      <w:pPr>
        <w:ind w:left="2419" w:hanging="360"/>
      </w:pPr>
      <w:rPr>
        <w:rFonts w:hint="default"/>
      </w:rPr>
    </w:lvl>
    <w:lvl w:ilvl="8">
      <w:start w:val="0"/>
      <w:numFmt w:val="bullet"/>
      <w:lvlText w:val="•"/>
      <w:lvlJc w:val="left"/>
      <w:pPr>
        <w:ind w:left="2650" w:hanging="360"/>
      </w:pPr>
      <w:rPr>
        <w:rFonts w:hint="default"/>
      </w:rPr>
    </w:lvl>
  </w:abstractNum>
  <w:abstractNum w:abstractNumId="5">
    <w:multiLevelType w:val="hybridMultilevel"/>
    <w:lvl w:ilvl="0">
      <w:start w:val="0"/>
      <w:numFmt w:val="bullet"/>
      <w:lvlText w:val="•"/>
      <w:lvlJc w:val="left"/>
      <w:pPr>
        <w:ind w:left="827" w:hanging="360"/>
      </w:pPr>
      <w:rPr>
        <w:rFonts w:hint="default" w:ascii="Calibri" w:hAnsi="Calibri" w:eastAsia="Calibri" w:cs="Calibri"/>
        <w:w w:val="100"/>
        <w:sz w:val="22"/>
        <w:szCs w:val="22"/>
      </w:rPr>
    </w:lvl>
    <w:lvl w:ilvl="1">
      <w:start w:val="0"/>
      <w:numFmt w:val="bullet"/>
      <w:lvlText w:val="•"/>
      <w:lvlJc w:val="left"/>
      <w:pPr>
        <w:ind w:left="1030" w:hanging="360"/>
      </w:pPr>
      <w:rPr>
        <w:rFonts w:hint="default"/>
      </w:rPr>
    </w:lvl>
    <w:lvl w:ilvl="2">
      <w:start w:val="0"/>
      <w:numFmt w:val="bullet"/>
      <w:lvlText w:val="•"/>
      <w:lvlJc w:val="left"/>
      <w:pPr>
        <w:ind w:left="1240" w:hanging="360"/>
      </w:pPr>
      <w:rPr>
        <w:rFonts w:hint="default"/>
      </w:rPr>
    </w:lvl>
    <w:lvl w:ilvl="3">
      <w:start w:val="0"/>
      <w:numFmt w:val="bullet"/>
      <w:lvlText w:val="•"/>
      <w:lvlJc w:val="left"/>
      <w:pPr>
        <w:ind w:left="1450" w:hanging="360"/>
      </w:pPr>
      <w:rPr>
        <w:rFonts w:hint="default"/>
      </w:rPr>
    </w:lvl>
    <w:lvl w:ilvl="4">
      <w:start w:val="0"/>
      <w:numFmt w:val="bullet"/>
      <w:lvlText w:val="•"/>
      <w:lvlJc w:val="left"/>
      <w:pPr>
        <w:ind w:left="1660" w:hanging="360"/>
      </w:pPr>
      <w:rPr>
        <w:rFonts w:hint="default"/>
      </w:rPr>
    </w:lvl>
    <w:lvl w:ilvl="5">
      <w:start w:val="0"/>
      <w:numFmt w:val="bullet"/>
      <w:lvlText w:val="•"/>
      <w:lvlJc w:val="left"/>
      <w:pPr>
        <w:ind w:left="1870" w:hanging="360"/>
      </w:pPr>
      <w:rPr>
        <w:rFonts w:hint="default"/>
      </w:rPr>
    </w:lvl>
    <w:lvl w:ilvl="6">
      <w:start w:val="0"/>
      <w:numFmt w:val="bullet"/>
      <w:lvlText w:val="•"/>
      <w:lvlJc w:val="left"/>
      <w:pPr>
        <w:ind w:left="2080" w:hanging="360"/>
      </w:pPr>
      <w:rPr>
        <w:rFonts w:hint="default"/>
      </w:rPr>
    </w:lvl>
    <w:lvl w:ilvl="7">
      <w:start w:val="0"/>
      <w:numFmt w:val="bullet"/>
      <w:lvlText w:val="•"/>
      <w:lvlJc w:val="left"/>
      <w:pPr>
        <w:ind w:left="2290" w:hanging="360"/>
      </w:pPr>
      <w:rPr>
        <w:rFonts w:hint="default"/>
      </w:rPr>
    </w:lvl>
    <w:lvl w:ilvl="8">
      <w:start w:val="0"/>
      <w:numFmt w:val="bullet"/>
      <w:lvlText w:val="•"/>
      <w:lvlJc w:val="left"/>
      <w:pPr>
        <w:ind w:left="2500" w:hanging="360"/>
      </w:pPr>
      <w:rPr>
        <w:rFonts w:hint="default"/>
      </w:rPr>
    </w:lvl>
  </w:abstractNum>
  <w:abstractNum w:abstractNumId="4">
    <w:multiLevelType w:val="hybridMultilevel"/>
    <w:lvl w:ilvl="0">
      <w:start w:val="0"/>
      <w:numFmt w:val="bullet"/>
      <w:lvlText w:val="•"/>
      <w:lvlJc w:val="left"/>
      <w:pPr>
        <w:ind w:left="827" w:hanging="360"/>
      </w:pPr>
      <w:rPr>
        <w:rFonts w:hint="default" w:ascii="Calibri" w:hAnsi="Calibri" w:eastAsia="Calibri" w:cs="Calibri"/>
        <w:w w:val="100"/>
        <w:sz w:val="22"/>
        <w:szCs w:val="22"/>
      </w:rPr>
    </w:lvl>
    <w:lvl w:ilvl="1">
      <w:start w:val="0"/>
      <w:numFmt w:val="bullet"/>
      <w:lvlText w:val="•"/>
      <w:lvlJc w:val="left"/>
      <w:pPr>
        <w:ind w:left="1029" w:hanging="360"/>
      </w:pPr>
      <w:rPr>
        <w:rFonts w:hint="default"/>
      </w:rPr>
    </w:lvl>
    <w:lvl w:ilvl="2">
      <w:start w:val="0"/>
      <w:numFmt w:val="bullet"/>
      <w:lvlText w:val="•"/>
      <w:lvlJc w:val="left"/>
      <w:pPr>
        <w:ind w:left="1239" w:hanging="360"/>
      </w:pPr>
      <w:rPr>
        <w:rFonts w:hint="default"/>
      </w:rPr>
    </w:lvl>
    <w:lvl w:ilvl="3">
      <w:start w:val="0"/>
      <w:numFmt w:val="bullet"/>
      <w:lvlText w:val="•"/>
      <w:lvlJc w:val="left"/>
      <w:pPr>
        <w:ind w:left="1448" w:hanging="360"/>
      </w:pPr>
      <w:rPr>
        <w:rFonts w:hint="default"/>
      </w:rPr>
    </w:lvl>
    <w:lvl w:ilvl="4">
      <w:start w:val="0"/>
      <w:numFmt w:val="bullet"/>
      <w:lvlText w:val="•"/>
      <w:lvlJc w:val="left"/>
      <w:pPr>
        <w:ind w:left="1658" w:hanging="360"/>
      </w:pPr>
      <w:rPr>
        <w:rFonts w:hint="default"/>
      </w:rPr>
    </w:lvl>
    <w:lvl w:ilvl="5">
      <w:start w:val="0"/>
      <w:numFmt w:val="bullet"/>
      <w:lvlText w:val="•"/>
      <w:lvlJc w:val="left"/>
      <w:pPr>
        <w:ind w:left="1868" w:hanging="360"/>
      </w:pPr>
      <w:rPr>
        <w:rFonts w:hint="default"/>
      </w:rPr>
    </w:lvl>
    <w:lvl w:ilvl="6">
      <w:start w:val="0"/>
      <w:numFmt w:val="bullet"/>
      <w:lvlText w:val="•"/>
      <w:lvlJc w:val="left"/>
      <w:pPr>
        <w:ind w:left="2077" w:hanging="360"/>
      </w:pPr>
      <w:rPr>
        <w:rFonts w:hint="default"/>
      </w:rPr>
    </w:lvl>
    <w:lvl w:ilvl="7">
      <w:start w:val="0"/>
      <w:numFmt w:val="bullet"/>
      <w:lvlText w:val="•"/>
      <w:lvlJc w:val="left"/>
      <w:pPr>
        <w:ind w:left="2287" w:hanging="360"/>
      </w:pPr>
      <w:rPr>
        <w:rFonts w:hint="default"/>
      </w:rPr>
    </w:lvl>
    <w:lvl w:ilvl="8">
      <w:start w:val="0"/>
      <w:numFmt w:val="bullet"/>
      <w:lvlText w:val="•"/>
      <w:lvlJc w:val="left"/>
      <w:pPr>
        <w:ind w:left="2496" w:hanging="360"/>
      </w:pPr>
      <w:rPr>
        <w:rFonts w:hint="default"/>
      </w:rPr>
    </w:lvl>
  </w:abstractNum>
  <w:abstractNum w:abstractNumId="3">
    <w:multiLevelType w:val="hybridMultilevel"/>
    <w:lvl w:ilvl="0">
      <w:start w:val="0"/>
      <w:numFmt w:val="bullet"/>
      <w:lvlText w:val="•"/>
      <w:lvlJc w:val="left"/>
      <w:pPr>
        <w:ind w:left="748" w:hanging="293"/>
      </w:pPr>
      <w:rPr>
        <w:rFonts w:hint="default" w:ascii="Times New Roman" w:hAnsi="Times New Roman" w:eastAsia="Times New Roman" w:cs="Times New Roman"/>
        <w:w w:val="100"/>
        <w:sz w:val="22"/>
        <w:szCs w:val="22"/>
      </w:rPr>
    </w:lvl>
    <w:lvl w:ilvl="1">
      <w:start w:val="0"/>
      <w:numFmt w:val="bullet"/>
      <w:lvlText w:val="•"/>
      <w:lvlJc w:val="left"/>
      <w:pPr>
        <w:ind w:left="998" w:hanging="293"/>
      </w:pPr>
      <w:rPr>
        <w:rFonts w:hint="default"/>
      </w:rPr>
    </w:lvl>
    <w:lvl w:ilvl="2">
      <w:start w:val="0"/>
      <w:numFmt w:val="bullet"/>
      <w:lvlText w:val="•"/>
      <w:lvlJc w:val="left"/>
      <w:pPr>
        <w:ind w:left="1256" w:hanging="293"/>
      </w:pPr>
      <w:rPr>
        <w:rFonts w:hint="default"/>
      </w:rPr>
    </w:lvl>
    <w:lvl w:ilvl="3">
      <w:start w:val="0"/>
      <w:numFmt w:val="bullet"/>
      <w:lvlText w:val="•"/>
      <w:lvlJc w:val="left"/>
      <w:pPr>
        <w:ind w:left="1514" w:hanging="293"/>
      </w:pPr>
      <w:rPr>
        <w:rFonts w:hint="default"/>
      </w:rPr>
    </w:lvl>
    <w:lvl w:ilvl="4">
      <w:start w:val="0"/>
      <w:numFmt w:val="bullet"/>
      <w:lvlText w:val="•"/>
      <w:lvlJc w:val="left"/>
      <w:pPr>
        <w:ind w:left="1772" w:hanging="293"/>
      </w:pPr>
      <w:rPr>
        <w:rFonts w:hint="default"/>
      </w:rPr>
    </w:lvl>
    <w:lvl w:ilvl="5">
      <w:start w:val="0"/>
      <w:numFmt w:val="bullet"/>
      <w:lvlText w:val="•"/>
      <w:lvlJc w:val="left"/>
      <w:pPr>
        <w:ind w:left="2031" w:hanging="293"/>
      </w:pPr>
      <w:rPr>
        <w:rFonts w:hint="default"/>
      </w:rPr>
    </w:lvl>
    <w:lvl w:ilvl="6">
      <w:start w:val="0"/>
      <w:numFmt w:val="bullet"/>
      <w:lvlText w:val="•"/>
      <w:lvlJc w:val="left"/>
      <w:pPr>
        <w:ind w:left="2289" w:hanging="293"/>
      </w:pPr>
      <w:rPr>
        <w:rFonts w:hint="default"/>
      </w:rPr>
    </w:lvl>
    <w:lvl w:ilvl="7">
      <w:start w:val="0"/>
      <w:numFmt w:val="bullet"/>
      <w:lvlText w:val="•"/>
      <w:lvlJc w:val="left"/>
      <w:pPr>
        <w:ind w:left="2547" w:hanging="293"/>
      </w:pPr>
      <w:rPr>
        <w:rFonts w:hint="default"/>
      </w:rPr>
    </w:lvl>
    <w:lvl w:ilvl="8">
      <w:start w:val="0"/>
      <w:numFmt w:val="bullet"/>
      <w:lvlText w:val="•"/>
      <w:lvlJc w:val="left"/>
      <w:pPr>
        <w:ind w:left="2805" w:hanging="293"/>
      </w:pPr>
      <w:rPr>
        <w:rFonts w:hint="default"/>
      </w:rPr>
    </w:lvl>
  </w:abstractNum>
  <w:abstractNum w:abstractNumId="2">
    <w:multiLevelType w:val="hybridMultilevel"/>
    <w:lvl w:ilvl="0">
      <w:start w:val="0"/>
      <w:numFmt w:val="bullet"/>
      <w:lvlText w:val="•"/>
      <w:lvlJc w:val="left"/>
      <w:pPr>
        <w:ind w:left="748" w:hanging="300"/>
      </w:pPr>
      <w:rPr>
        <w:rFonts w:hint="default" w:ascii="Times New Roman" w:hAnsi="Times New Roman" w:eastAsia="Times New Roman" w:cs="Times New Roman"/>
        <w:color w:val="221F1F"/>
        <w:w w:val="100"/>
        <w:sz w:val="22"/>
        <w:szCs w:val="22"/>
      </w:rPr>
    </w:lvl>
    <w:lvl w:ilvl="1">
      <w:start w:val="0"/>
      <w:numFmt w:val="bullet"/>
      <w:lvlText w:val="•"/>
      <w:lvlJc w:val="left"/>
      <w:pPr>
        <w:ind w:left="934" w:hanging="300"/>
      </w:pPr>
      <w:rPr>
        <w:rFonts w:hint="default"/>
      </w:rPr>
    </w:lvl>
    <w:lvl w:ilvl="2">
      <w:start w:val="0"/>
      <w:numFmt w:val="bullet"/>
      <w:lvlText w:val="•"/>
      <w:lvlJc w:val="left"/>
      <w:pPr>
        <w:ind w:left="1129" w:hanging="300"/>
      </w:pPr>
      <w:rPr>
        <w:rFonts w:hint="default"/>
      </w:rPr>
    </w:lvl>
    <w:lvl w:ilvl="3">
      <w:start w:val="0"/>
      <w:numFmt w:val="bullet"/>
      <w:lvlText w:val="•"/>
      <w:lvlJc w:val="left"/>
      <w:pPr>
        <w:ind w:left="1323" w:hanging="300"/>
      </w:pPr>
      <w:rPr>
        <w:rFonts w:hint="default"/>
      </w:rPr>
    </w:lvl>
    <w:lvl w:ilvl="4">
      <w:start w:val="0"/>
      <w:numFmt w:val="bullet"/>
      <w:lvlText w:val="•"/>
      <w:lvlJc w:val="left"/>
      <w:pPr>
        <w:ind w:left="1518" w:hanging="300"/>
      </w:pPr>
      <w:rPr>
        <w:rFonts w:hint="default"/>
      </w:rPr>
    </w:lvl>
    <w:lvl w:ilvl="5">
      <w:start w:val="0"/>
      <w:numFmt w:val="bullet"/>
      <w:lvlText w:val="•"/>
      <w:lvlJc w:val="left"/>
      <w:pPr>
        <w:ind w:left="1713" w:hanging="300"/>
      </w:pPr>
      <w:rPr>
        <w:rFonts w:hint="default"/>
      </w:rPr>
    </w:lvl>
    <w:lvl w:ilvl="6">
      <w:start w:val="0"/>
      <w:numFmt w:val="bullet"/>
      <w:lvlText w:val="•"/>
      <w:lvlJc w:val="left"/>
      <w:pPr>
        <w:ind w:left="1907" w:hanging="300"/>
      </w:pPr>
      <w:rPr>
        <w:rFonts w:hint="default"/>
      </w:rPr>
    </w:lvl>
    <w:lvl w:ilvl="7">
      <w:start w:val="0"/>
      <w:numFmt w:val="bullet"/>
      <w:lvlText w:val="•"/>
      <w:lvlJc w:val="left"/>
      <w:pPr>
        <w:ind w:left="2102" w:hanging="300"/>
      </w:pPr>
      <w:rPr>
        <w:rFonts w:hint="default"/>
      </w:rPr>
    </w:lvl>
    <w:lvl w:ilvl="8">
      <w:start w:val="0"/>
      <w:numFmt w:val="bullet"/>
      <w:lvlText w:val="•"/>
      <w:lvlJc w:val="left"/>
      <w:pPr>
        <w:ind w:left="2296" w:hanging="300"/>
      </w:pPr>
      <w:rPr>
        <w:rFonts w:hint="default"/>
      </w:rPr>
    </w:lvl>
  </w:abstractNum>
  <w:abstractNum w:abstractNumId="1">
    <w:multiLevelType w:val="hybridMultilevel"/>
    <w:lvl w:ilvl="0">
      <w:start w:val="0"/>
      <w:numFmt w:val="bullet"/>
      <w:lvlText w:val="•"/>
      <w:lvlJc w:val="left"/>
      <w:pPr>
        <w:ind w:left="688" w:hanging="180"/>
      </w:pPr>
      <w:rPr>
        <w:rFonts w:hint="default" w:ascii="Calibri" w:hAnsi="Calibri" w:eastAsia="Calibri" w:cs="Calibri"/>
        <w:color w:val="221F1F"/>
        <w:w w:val="99"/>
        <w:sz w:val="19"/>
        <w:szCs w:val="19"/>
      </w:rPr>
    </w:lvl>
    <w:lvl w:ilvl="1">
      <w:start w:val="0"/>
      <w:numFmt w:val="bullet"/>
      <w:lvlText w:val="•"/>
      <w:lvlJc w:val="left"/>
      <w:pPr>
        <w:ind w:left="871" w:hanging="180"/>
      </w:pPr>
      <w:rPr>
        <w:rFonts w:hint="default"/>
      </w:rPr>
    </w:lvl>
    <w:lvl w:ilvl="2">
      <w:start w:val="0"/>
      <w:numFmt w:val="bullet"/>
      <w:lvlText w:val="•"/>
      <w:lvlJc w:val="left"/>
      <w:pPr>
        <w:ind w:left="1062" w:hanging="180"/>
      </w:pPr>
      <w:rPr>
        <w:rFonts w:hint="default"/>
      </w:rPr>
    </w:lvl>
    <w:lvl w:ilvl="3">
      <w:start w:val="0"/>
      <w:numFmt w:val="bullet"/>
      <w:lvlText w:val="•"/>
      <w:lvlJc w:val="left"/>
      <w:pPr>
        <w:ind w:left="1254" w:hanging="180"/>
      </w:pPr>
      <w:rPr>
        <w:rFonts w:hint="default"/>
      </w:rPr>
    </w:lvl>
    <w:lvl w:ilvl="4">
      <w:start w:val="0"/>
      <w:numFmt w:val="bullet"/>
      <w:lvlText w:val="•"/>
      <w:lvlJc w:val="left"/>
      <w:pPr>
        <w:ind w:left="1445" w:hanging="180"/>
      </w:pPr>
      <w:rPr>
        <w:rFonts w:hint="default"/>
      </w:rPr>
    </w:lvl>
    <w:lvl w:ilvl="5">
      <w:start w:val="0"/>
      <w:numFmt w:val="bullet"/>
      <w:lvlText w:val="•"/>
      <w:lvlJc w:val="left"/>
      <w:pPr>
        <w:ind w:left="1637" w:hanging="180"/>
      </w:pPr>
      <w:rPr>
        <w:rFonts w:hint="default"/>
      </w:rPr>
    </w:lvl>
    <w:lvl w:ilvl="6">
      <w:start w:val="0"/>
      <w:numFmt w:val="bullet"/>
      <w:lvlText w:val="•"/>
      <w:lvlJc w:val="left"/>
      <w:pPr>
        <w:ind w:left="1828" w:hanging="180"/>
      </w:pPr>
      <w:rPr>
        <w:rFonts w:hint="default"/>
      </w:rPr>
    </w:lvl>
    <w:lvl w:ilvl="7">
      <w:start w:val="0"/>
      <w:numFmt w:val="bullet"/>
      <w:lvlText w:val="•"/>
      <w:lvlJc w:val="left"/>
      <w:pPr>
        <w:ind w:left="2019" w:hanging="180"/>
      </w:pPr>
      <w:rPr>
        <w:rFonts w:hint="default"/>
      </w:rPr>
    </w:lvl>
    <w:lvl w:ilvl="8">
      <w:start w:val="0"/>
      <w:numFmt w:val="bullet"/>
      <w:lvlText w:val="•"/>
      <w:lvlJc w:val="left"/>
      <w:pPr>
        <w:ind w:left="2211" w:hanging="180"/>
      </w:pPr>
      <w:rPr>
        <w:rFonts w:hint="default"/>
      </w:rPr>
    </w:lvl>
  </w:abstractNum>
  <w:abstractNum w:abstractNumId="0">
    <w:multiLevelType w:val="hybridMultilevel"/>
    <w:lvl w:ilvl="0">
      <w:start w:val="0"/>
      <w:numFmt w:val="bullet"/>
      <w:lvlText w:val="•"/>
      <w:lvlJc w:val="left"/>
      <w:pPr>
        <w:ind w:left="689" w:hanging="180"/>
      </w:pPr>
      <w:rPr>
        <w:rFonts w:hint="default" w:ascii="Calibri" w:hAnsi="Calibri" w:eastAsia="Calibri" w:cs="Calibri"/>
        <w:color w:val="221F1F"/>
        <w:w w:val="99"/>
        <w:sz w:val="19"/>
        <w:szCs w:val="19"/>
      </w:rPr>
    </w:lvl>
    <w:lvl w:ilvl="1">
      <w:start w:val="0"/>
      <w:numFmt w:val="bullet"/>
      <w:lvlText w:val="•"/>
      <w:lvlJc w:val="left"/>
      <w:pPr>
        <w:ind w:left="905" w:hanging="180"/>
      </w:pPr>
      <w:rPr>
        <w:rFonts w:hint="default"/>
      </w:rPr>
    </w:lvl>
    <w:lvl w:ilvl="2">
      <w:start w:val="0"/>
      <w:numFmt w:val="bullet"/>
      <w:lvlText w:val="•"/>
      <w:lvlJc w:val="left"/>
      <w:pPr>
        <w:ind w:left="1131" w:hanging="180"/>
      </w:pPr>
      <w:rPr>
        <w:rFonts w:hint="default"/>
      </w:rPr>
    </w:lvl>
    <w:lvl w:ilvl="3">
      <w:start w:val="0"/>
      <w:numFmt w:val="bullet"/>
      <w:lvlText w:val="•"/>
      <w:lvlJc w:val="left"/>
      <w:pPr>
        <w:ind w:left="1357" w:hanging="180"/>
      </w:pPr>
      <w:rPr>
        <w:rFonts w:hint="default"/>
      </w:rPr>
    </w:lvl>
    <w:lvl w:ilvl="4">
      <w:start w:val="0"/>
      <w:numFmt w:val="bullet"/>
      <w:lvlText w:val="•"/>
      <w:lvlJc w:val="left"/>
      <w:pPr>
        <w:ind w:left="1583" w:hanging="180"/>
      </w:pPr>
      <w:rPr>
        <w:rFonts w:hint="default"/>
      </w:rPr>
    </w:lvl>
    <w:lvl w:ilvl="5">
      <w:start w:val="0"/>
      <w:numFmt w:val="bullet"/>
      <w:lvlText w:val="•"/>
      <w:lvlJc w:val="left"/>
      <w:pPr>
        <w:ind w:left="1809" w:hanging="180"/>
      </w:pPr>
      <w:rPr>
        <w:rFonts w:hint="default"/>
      </w:rPr>
    </w:lvl>
    <w:lvl w:ilvl="6">
      <w:start w:val="0"/>
      <w:numFmt w:val="bullet"/>
      <w:lvlText w:val="•"/>
      <w:lvlJc w:val="left"/>
      <w:pPr>
        <w:ind w:left="2034" w:hanging="180"/>
      </w:pPr>
      <w:rPr>
        <w:rFonts w:hint="default"/>
      </w:rPr>
    </w:lvl>
    <w:lvl w:ilvl="7">
      <w:start w:val="0"/>
      <w:numFmt w:val="bullet"/>
      <w:lvlText w:val="•"/>
      <w:lvlJc w:val="left"/>
      <w:pPr>
        <w:ind w:left="2260" w:hanging="180"/>
      </w:pPr>
      <w:rPr>
        <w:rFonts w:hint="default"/>
      </w:rPr>
    </w:lvl>
    <w:lvl w:ilvl="8">
      <w:start w:val="0"/>
      <w:numFmt w:val="bullet"/>
      <w:lvlText w:val="•"/>
      <w:lvlJc w:val="left"/>
      <w:pPr>
        <w:ind w:left="2486" w:hanging="180"/>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
      <w:ind w:left="1004"/>
      <w:outlineLvl w:val="1"/>
    </w:pPr>
    <w:rPr>
      <w:rFonts w:ascii="Ebrima" w:hAnsi="Ebrima" w:eastAsia="Ebrima" w:cs="Ebrima"/>
      <w:b/>
      <w:bCs/>
      <w:sz w:val="34"/>
      <w:szCs w:val="34"/>
    </w:rPr>
  </w:style>
  <w:style w:styleId="Heading2" w:type="paragraph">
    <w:name w:val="Heading 2"/>
    <w:basedOn w:val="Normal"/>
    <w:uiPriority w:val="1"/>
    <w:qFormat/>
    <w:pPr>
      <w:spacing w:before="273"/>
      <w:ind w:left="1440"/>
      <w:outlineLvl w:val="2"/>
    </w:pPr>
    <w:rPr>
      <w:rFonts w:ascii="Verdana" w:hAnsi="Verdana" w:eastAsia="Verdana" w:cs="Verdana"/>
      <w:b/>
      <w:bCs/>
      <w:sz w:val="32"/>
      <w:szCs w:val="32"/>
    </w:rPr>
  </w:style>
  <w:style w:styleId="Heading3" w:type="paragraph">
    <w:name w:val="Heading 3"/>
    <w:basedOn w:val="Normal"/>
    <w:uiPriority w:val="1"/>
    <w:qFormat/>
    <w:pPr>
      <w:spacing w:before="132"/>
      <w:ind w:left="1440"/>
      <w:outlineLvl w:val="3"/>
    </w:pPr>
    <w:rPr>
      <w:rFonts w:ascii="Arial" w:hAnsi="Arial" w:eastAsia="Arial" w:cs="Arial"/>
      <w:b/>
      <w:bCs/>
      <w:sz w:val="28"/>
      <w:szCs w:val="28"/>
    </w:rPr>
  </w:style>
  <w:style w:styleId="Heading4" w:type="paragraph">
    <w:name w:val="Heading 4"/>
    <w:basedOn w:val="Normal"/>
    <w:uiPriority w:val="1"/>
    <w:qFormat/>
    <w:pPr>
      <w:spacing w:before="116"/>
      <w:ind w:left="1440"/>
      <w:outlineLvl w:val="4"/>
    </w:pPr>
    <w:rPr>
      <w:rFonts w:ascii="Tahoma" w:hAnsi="Tahoma" w:eastAsia="Tahoma" w:cs="Tahoma"/>
      <w:sz w:val="28"/>
      <w:szCs w:val="28"/>
    </w:rPr>
  </w:style>
  <w:style w:styleId="Heading5" w:type="paragraph">
    <w:name w:val="Heading 5"/>
    <w:basedOn w:val="Normal"/>
    <w:uiPriority w:val="1"/>
    <w:qFormat/>
    <w:pPr>
      <w:ind w:left="1440"/>
      <w:outlineLvl w:val="5"/>
    </w:pPr>
    <w:rPr>
      <w:rFonts w:ascii="Times New Roman" w:hAnsi="Times New Roman" w:eastAsia="Times New Roman" w:cs="Times New Roman"/>
      <w:b/>
      <w:bCs/>
      <w:sz w:val="24"/>
      <w:szCs w:val="24"/>
    </w:rPr>
  </w:style>
  <w:style w:styleId="Heading6" w:type="paragraph">
    <w:name w:val="Heading 6"/>
    <w:basedOn w:val="Normal"/>
    <w:uiPriority w:val="1"/>
    <w:qFormat/>
    <w:pPr>
      <w:spacing w:before="164"/>
      <w:ind w:left="712"/>
      <w:outlineLvl w:val="6"/>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2520"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header" Target="header3.xm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2018-11-25T18:01:00Z</dcterms:created>
  <dcterms:modified xsi:type="dcterms:W3CDTF">2018-11-25T18:01:00Z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