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ind w:left="0" w:firstLine="0"/>
        <w:rPr>
          <w:sz w:val="22"/>
        </w:rPr>
      </w:pPr>
    </w:p>
    <w:p>
      <w:pPr>
        <w:pStyle w:val="Heading1"/>
      </w:pPr>
      <w:r>
        <w:rPr>
          <w:color w:val="396230"/>
        </w:rPr>
        <w:t>Chapter 2 - Land Use</w:t>
      </w:r>
    </w:p>
    <w:p>
      <w:pPr>
        <w:spacing w:before="300"/>
        <w:ind w:left="100" w:right="0" w:firstLine="0"/>
        <w:jc w:val="left"/>
        <w:rPr>
          <w:rFonts w:ascii="Calibri"/>
          <w:sz w:val="32"/>
        </w:rPr>
      </w:pPr>
      <w:r>
        <w:rPr>
          <w:rFonts w:ascii="Calibri"/>
          <w:color w:val="13415C"/>
          <w:sz w:val="32"/>
        </w:rPr>
        <w:t>Table of Contents</w:t>
      </w:r>
    </w:p>
    <w:sdt>
      <w:sdtPr>
        <w:docPartObj>
          <w:docPartGallery w:val="Table of Contents"/>
          <w:docPartUnique/>
        </w:docPartObj>
      </w:sdtPr>
      <w:sdtEndPr/>
      <w:sdtContent>
        <w:p>
          <w:pPr>
            <w:pStyle w:val="TOC1"/>
            <w:tabs>
              <w:tab w:pos="9452" w:val="right" w:leader="dot"/>
            </w:tabs>
            <w:spacing w:before="23"/>
          </w:pPr>
          <w:hyperlink w:history="true" w:anchor="_TOC_250001">
            <w:r>
              <w:rPr/>
              <w:t>Quality</w:t>
            </w:r>
            <w:r>
              <w:rPr>
                <w:spacing w:val="-6"/>
              </w:rPr>
              <w:t> </w:t>
            </w:r>
            <w:r>
              <w:rPr/>
              <w:t>Development</w:t>
              <w:tab/>
              <w:t>6</w:t>
            </w:r>
          </w:hyperlink>
        </w:p>
        <w:p>
          <w:pPr>
            <w:pStyle w:val="TOC1"/>
            <w:tabs>
              <w:tab w:pos="9452" w:val="right" w:leader="dot"/>
            </w:tabs>
          </w:pPr>
          <w:r>
            <w:rPr/>
            <w:pict>
              <v:shape style="position:absolute;margin-left:90.066002pt;margin-top:19.043089pt;width:395.3pt;height:419pt;mso-position-horizontal-relative:page;mso-position-vertical-relative:paragraph;z-index:-10720" coordorigin="1801,381" coordsize="7906,8380" path="m4498,7645l4492,7571,4477,7493,4455,7410,4432,7341,4402,7269,4367,7194,4325,7116,4276,7035,4236,6976,4200,6926,4200,7611,4197,7668,4185,7724,4167,7782,4138,7842,4097,7904,4044,7970,3979,8040,3674,8345,2216,6887,2517,6587,2598,6511,2672,6451,2740,6407,2801,6381,2868,6366,2941,6362,3020,6369,3105,6387,3195,6416,3255,6442,3317,6474,3380,6512,3446,6557,3514,6609,3584,6667,3656,6732,3729,6803,3789,6865,3844,6925,3896,6984,3943,7042,3986,7098,4024,7154,4059,7207,4101,7282,4136,7354,4163,7424,4183,7491,4196,7555,4200,7611,4200,6926,4194,6917,4148,6857,4098,6796,4045,6735,3989,6674,3929,6612,3865,6550,3801,6491,3737,6436,3673,6385,3643,6362,3609,6337,3546,6292,3482,6251,3419,6213,3346,6176,3274,6143,3203,6116,3132,6094,3062,6077,2992,6065,2923,6058,2850,6056,2779,6063,2709,6078,2642,6101,2577,6131,2528,6159,2476,6196,2420,6242,2359,6296,2294,6359,1801,6852,3710,8760,4124,8345,4226,8243,4287,8178,4341,8113,4386,8047,4424,7980,4454,7914,4476,7848,4491,7781,4498,7713,4498,7645m6418,6051l6056,5924,5650,5781,5561,5752,5475,5728,5393,5709,5364,5703,5314,5694,5239,5684,5193,5683,5143,5686,5089,5693,5030,5703,5074,5634,5109,5564,5136,5495,5154,5426,5164,5358,5165,5290,5157,5222,5139,5144,5111,5068,5075,4993,5030,4920,4976,4850,4956,4827,4913,4781,4872,4743,4872,5300,4868,5356,4854,5411,4830,5467,4794,5526,4747,5587,4687,5650,4413,5924,4280,6057,3649,5426,4102,4973,4166,4916,4229,4873,4293,4843,4358,4828,4422,4827,4501,4842,4577,4872,4649,4917,4718,4976,4761,5024,4797,5075,4827,5128,4851,5185,4867,5243,4872,5300,4872,4743,4849,4721,4782,4669,4713,4624,4641,4585,4566,4553,4474,4525,4386,4512,4303,4514,4225,4530,4163,4555,4098,4591,4030,4639,3958,4699,3883,4770,3248,5405,5157,7313,5346,7123,4499,6276,4718,6057,4753,6023,4783,5995,4810,5974,4833,5960,4863,5946,4896,5936,4932,5928,4971,5924,5014,5924,5066,5929,5125,5939,5194,5956,5256,5973,5328,5994,5407,6019,5496,6048,6180,6289,6418,6051m7780,4689l7415,4494,6555,4040,6555,4347,6070,4832,5989,4689,5748,4258,5708,4187,5668,4115,5629,4050,5590,3985,5550,3921,5509,3858,5467,3796,5424,3734,5380,3674,5436,3709,5498,3747,5564,3787,5635,3829,5792,3920,6555,4347,6555,4040,5862,3674,5286,3367,5082,3571,5277,3921,5316,3992,5701,4689,6168,5538,6441,6029,6642,5828,6565,5694,6298,5226,6221,5092,6481,4832,6820,4494,7565,4905,7780,4689m8131,4339l7264,3472,7489,3246,7936,2800,7711,2575,7039,3246,6448,2656,7224,1879,6999,1654,6033,2620,7941,4528,8131,4339m9707,2763l8213,1269,8024,1080,8497,606,8272,381,7138,1515,7363,1741,7834,1269,9517,2952,9707,2763e" filled="true" fillcolor="#c0c0c0" stroked="false">
                <v:path arrowok="t"/>
                <v:fill opacity="32896f" type="solid"/>
                <w10:wrap type="none"/>
              </v:shape>
            </w:pict>
          </w:r>
          <w:hyperlink w:history="true" w:anchor="_TOC_250000">
            <w:r>
              <w:rPr/>
              <w:t>Infill</w:t>
            </w:r>
            <w:r>
              <w:rPr>
                <w:spacing w:val="-1"/>
              </w:rPr>
              <w:t> </w:t>
            </w:r>
            <w:r>
              <w:rPr/>
              <w:t>and</w:t>
            </w:r>
            <w:r>
              <w:rPr>
                <w:spacing w:val="-1"/>
              </w:rPr>
              <w:t> </w:t>
            </w:r>
            <w:r>
              <w:rPr/>
              <w:t>Redevelopment</w:t>
              <w:tab/>
              <w:t>10</w:t>
            </w:r>
          </w:hyperlink>
        </w:p>
        <w:p>
          <w:pPr>
            <w:pStyle w:val="TOC1"/>
            <w:tabs>
              <w:tab w:pos="9452" w:val="right" w:leader="dot"/>
            </w:tabs>
            <w:spacing w:before="122"/>
          </w:pPr>
          <w:r>
            <w:rPr/>
            <w:t>Urban</w:t>
          </w:r>
          <w:r>
            <w:rPr>
              <w:spacing w:val="-1"/>
            </w:rPr>
            <w:t> </w:t>
          </w:r>
          <w:r>
            <w:rPr/>
            <w:t>Policy</w:t>
          </w:r>
          <w:r>
            <w:rPr>
              <w:spacing w:val="-6"/>
            </w:rPr>
            <w:t> </w:t>
          </w:r>
          <w:r>
            <w:rPr/>
            <w:t>Areas</w:t>
            <w:tab/>
            <w:t>18</w:t>
          </w:r>
        </w:p>
        <w:p>
          <w:pPr>
            <w:pStyle w:val="TOC1"/>
            <w:tabs>
              <w:tab w:pos="9452" w:val="right" w:leader="dot"/>
            </w:tabs>
          </w:pPr>
          <w:r>
            <w:rPr/>
            <w:t>Suburban</w:t>
          </w:r>
          <w:r>
            <w:rPr>
              <w:spacing w:val="-1"/>
            </w:rPr>
            <w:t> </w:t>
          </w:r>
          <w:r>
            <w:rPr/>
            <w:t>Policy</w:t>
          </w:r>
          <w:r>
            <w:rPr>
              <w:spacing w:val="-6"/>
            </w:rPr>
            <w:t> </w:t>
          </w:r>
          <w:r>
            <w:rPr/>
            <w:t>Area</w:t>
            <w:tab/>
            <w:t>33</w:t>
          </w:r>
        </w:p>
        <w:p>
          <w:pPr>
            <w:pStyle w:val="TOC1"/>
            <w:tabs>
              <w:tab w:pos="9452" w:val="right" w:leader="dot"/>
            </w:tabs>
            <w:spacing w:before="120"/>
          </w:pPr>
          <w:r>
            <w:rPr/>
            <w:t>Transition</w:t>
          </w:r>
          <w:r>
            <w:rPr>
              <w:spacing w:val="-1"/>
            </w:rPr>
            <w:t> </w:t>
          </w:r>
          <w:r>
            <w:rPr/>
            <w:t>Policy</w:t>
          </w:r>
          <w:r>
            <w:rPr>
              <w:spacing w:val="-6"/>
            </w:rPr>
            <w:t> </w:t>
          </w:r>
          <w:r>
            <w:rPr/>
            <w:t>Area</w:t>
            <w:tab/>
            <w:t>55</w:t>
          </w:r>
        </w:p>
        <w:p>
          <w:pPr>
            <w:pStyle w:val="TOC1"/>
            <w:tabs>
              <w:tab w:pos="9452" w:val="right" w:leader="dot"/>
            </w:tabs>
          </w:pPr>
          <w:r>
            <w:rPr/>
            <w:t>Rural</w:t>
          </w:r>
          <w:r>
            <w:rPr>
              <w:spacing w:val="-1"/>
            </w:rPr>
            <w:t> </w:t>
          </w:r>
          <w:r>
            <w:rPr/>
            <w:t>Policy</w:t>
          </w:r>
          <w:r>
            <w:rPr>
              <w:spacing w:val="-4"/>
            </w:rPr>
            <w:t> </w:t>
          </w:r>
          <w:r>
            <w:rPr/>
            <w:t>Area</w:t>
            <w:tab/>
            <w:t>76</w:t>
          </w:r>
        </w:p>
        <w:p>
          <w:pPr>
            <w:pStyle w:val="TOC1"/>
            <w:tabs>
              <w:tab w:pos="9452" w:val="right" w:leader="dot"/>
            </w:tabs>
            <w:spacing w:before="122"/>
          </w:pPr>
          <w:r>
            <w:rPr/>
            <w:t>Towns and Joint Land</w:t>
          </w:r>
          <w:r>
            <w:rPr>
              <w:spacing w:val="-1"/>
            </w:rPr>
            <w:t> </w:t>
          </w:r>
          <w:r>
            <w:rPr/>
            <w:t>Management</w:t>
          </w:r>
          <w:r>
            <w:rPr>
              <w:spacing w:val="-1"/>
            </w:rPr>
            <w:t> </w:t>
          </w:r>
          <w:r>
            <w:rPr/>
            <w:t>Areas</w:t>
            <w:tab/>
            <w:t>98</w:t>
          </w:r>
        </w:p>
        <w:p>
          <w:pPr>
            <w:pStyle w:val="TOC1"/>
            <w:tabs>
              <w:tab w:pos="9452" w:val="right" w:leader="dot"/>
            </w:tabs>
          </w:pPr>
          <w:r>
            <w:rPr/>
            <w:t>Reference</w:t>
          </w:r>
          <w:r>
            <w:rPr>
              <w:spacing w:val="-2"/>
            </w:rPr>
            <w:t> </w:t>
          </w:r>
          <w:r>
            <w:rPr/>
            <w:t>Maps</w:t>
            <w:tab/>
            <w:t>127</w:t>
          </w:r>
        </w:p>
      </w:sdtContent>
    </w:sdt>
    <w:p>
      <w:pPr>
        <w:spacing w:after="0"/>
        <w:sectPr>
          <w:headerReference w:type="default" r:id="rId5"/>
          <w:footerReference w:type="default" r:id="rId6"/>
          <w:type w:val="continuous"/>
          <w:pgSz w:w="12240" w:h="15840"/>
          <w:pgMar w:header="719" w:footer="540" w:top="1300" w:bottom="740" w:left="1340" w:right="1320"/>
          <w:pgNumType w:start="1"/>
        </w:sectPr>
      </w:pPr>
    </w:p>
    <w:p>
      <w:pPr>
        <w:pStyle w:val="Heading1"/>
        <w:spacing w:before="362"/>
      </w:pPr>
      <w:r>
        <w:rPr>
          <w:color w:val="396230"/>
        </w:rPr>
        <w:t>Chapter 2 - Land Use</w:t>
      </w:r>
    </w:p>
    <w:p>
      <w:pPr>
        <w:pStyle w:val="Heading3"/>
        <w:spacing w:before="105"/>
        <w:jc w:val="left"/>
      </w:pPr>
      <w:r>
        <w:rPr>
          <w:w w:val="95"/>
        </w:rPr>
        <w:t>Vision</w:t>
      </w:r>
    </w:p>
    <w:p>
      <w:pPr>
        <w:pStyle w:val="BodyText"/>
        <w:spacing w:line="259" w:lineRule="auto" w:before="26"/>
        <w:ind w:right="116" w:firstLine="0"/>
        <w:jc w:val="both"/>
      </w:pPr>
      <w:r>
        <w:rPr/>
        <w:pict>
          <v:shape style="position:absolute;margin-left:90.066002pt;margin-top:43.833103pt;width:395.3pt;height:419pt;mso-position-horizontal-relative:page;mso-position-vertical-relative:paragraph;z-index:-10696" coordorigin="1801,877" coordsize="7906,8380" path="m4498,8140l4492,8067,4477,7989,4455,7906,4432,7837,4402,7765,4367,7690,4325,7612,4276,7531,4236,7472,4200,7421,4200,8107,4197,8163,4185,8220,4167,8278,4138,8337,4097,8400,4044,8466,3979,8535,3674,8841,2216,7383,2517,7082,2598,7006,2672,6946,2740,6903,2801,6876,2868,6862,2941,6858,3020,6865,3105,6883,3195,6912,3255,6937,3317,6970,3380,7008,3446,7053,3514,7105,3584,7163,3656,7228,3729,7299,3789,7360,3844,7421,3896,7480,3943,7538,3986,7594,4024,7649,4059,7703,4101,7778,4136,7850,4163,7920,4183,7987,4196,8051,4200,8107,4200,7421,4194,7413,4148,7353,4098,7292,4045,7231,3989,7170,3929,7108,3865,7046,3801,6987,3737,6932,3673,6881,3643,6858,3609,6833,3546,6788,3482,6747,3419,6709,3346,6671,3274,6639,3203,6612,3132,6590,3062,6573,2992,6561,2923,6554,2850,6552,2779,6559,2709,6574,2642,6597,2577,6627,2528,6655,2476,6692,2420,6738,2359,6792,2294,6854,1801,7348,3710,9256,4124,8841,4226,8739,4287,8674,4341,8609,4386,8543,4424,8476,4454,8410,4476,8343,4491,8277,4498,8209,4498,8140m6418,6547l6056,6420,5650,6277,5561,6248,5475,6224,5393,6205,5364,6199,5314,6190,5239,6180,5193,6178,5143,6182,5089,6189,5030,6199,5074,6130,5109,6060,5136,5991,5154,5922,5164,5854,5165,5785,5157,5718,5139,5640,5111,5563,5075,5489,5030,5416,4976,5345,4956,5323,4913,5277,4872,5239,4872,5796,4868,5852,4854,5906,4830,5963,4794,6021,4747,6082,4687,6146,4413,6420,4280,6553,3649,5922,4102,5469,4166,5412,4229,5369,4293,5339,4358,5324,4422,5323,4501,5338,4577,5368,4649,5412,4718,5472,4761,5520,4797,5570,4827,5624,4851,5681,4867,5739,4872,5796,4872,5239,4849,5217,4782,5165,4713,5119,4641,5081,4566,5049,4474,5020,4386,5008,4303,5010,4225,5025,4163,5050,4098,5087,4030,5135,3958,5195,3883,5266,3248,5900,5157,7809,5346,7619,4499,6772,4718,6553,4753,6519,4783,6491,4810,6470,4833,6456,4863,6442,4896,6431,4932,6424,4971,6420,5014,6420,5066,6425,5125,6435,5194,6452,5256,6469,5328,6490,5407,6515,5496,6544,6180,6785,6418,6547m7780,5185l7415,4990,6555,4536,6555,4843,6070,5328,5989,5185,5748,4754,5708,4683,5668,4611,5629,4546,5590,4481,5550,4417,5509,4354,5467,4292,5424,4230,5380,4169,5436,4205,5498,4243,5564,4283,5635,4325,5792,4415,6555,4843,6555,4536,5862,4169,5286,3863,5082,4067,5277,4417,5316,4487,5701,5185,6168,6034,6441,6525,6642,6323,6565,6190,6298,5722,6221,5588,6481,5328,6820,4990,7565,5401,7780,5185m8131,4834l7264,3968,7489,3742,7936,3296,7711,3070,7039,3742,6448,3151,7224,2375,6999,2150,6033,3116,7941,5024,8131,4834m9707,3258l8213,1765,8024,1575,8497,1102,8272,877,7138,2011,7363,2236,7834,1765,9517,3448,9707,3258e" filled="true" fillcolor="#c0c0c0" stroked="false">
            <v:path arrowok="t"/>
            <v:fill opacity="32896f" type="solid"/>
            <w10:wrap type="none"/>
          </v:shape>
        </w:pict>
      </w:r>
      <w:r>
        <w:rPr/>
        <w:t>Loudoun</w:t>
      </w:r>
      <w:r>
        <w:rPr>
          <w:spacing w:val="-4"/>
        </w:rPr>
        <w:t> </w:t>
      </w:r>
      <w:r>
        <w:rPr/>
        <w:t>will</w:t>
      </w:r>
      <w:r>
        <w:rPr>
          <w:spacing w:val="-4"/>
        </w:rPr>
        <w:t> </w:t>
      </w:r>
      <w:r>
        <w:rPr/>
        <w:t>carry</w:t>
      </w:r>
      <w:r>
        <w:rPr>
          <w:spacing w:val="-9"/>
        </w:rPr>
        <w:t> </w:t>
      </w:r>
      <w:r>
        <w:rPr/>
        <w:t>forth</w:t>
      </w:r>
      <w:r>
        <w:rPr>
          <w:spacing w:val="-2"/>
        </w:rPr>
        <w:t> </w:t>
      </w:r>
      <w:r>
        <w:rPr/>
        <w:t>our</w:t>
      </w:r>
      <w:r>
        <w:rPr>
          <w:spacing w:val="-4"/>
        </w:rPr>
        <w:t> </w:t>
      </w:r>
      <w:r>
        <w:rPr/>
        <w:t>successful</w:t>
      </w:r>
      <w:r>
        <w:rPr>
          <w:spacing w:val="-4"/>
        </w:rPr>
        <w:t> </w:t>
      </w:r>
      <w:r>
        <w:rPr/>
        <w:t>land</w:t>
      </w:r>
      <w:r>
        <w:rPr>
          <w:spacing w:val="-4"/>
        </w:rPr>
        <w:t> </w:t>
      </w:r>
      <w:r>
        <w:rPr/>
        <w:t>use</w:t>
      </w:r>
      <w:r>
        <w:rPr>
          <w:spacing w:val="-5"/>
        </w:rPr>
        <w:t> </w:t>
      </w:r>
      <w:r>
        <w:rPr/>
        <w:t>and</w:t>
      </w:r>
      <w:r>
        <w:rPr>
          <w:spacing w:val="-4"/>
        </w:rPr>
        <w:t> </w:t>
      </w:r>
      <w:r>
        <w:rPr/>
        <w:t>growth</w:t>
      </w:r>
      <w:r>
        <w:rPr>
          <w:spacing w:val="-4"/>
        </w:rPr>
        <w:t> </w:t>
      </w:r>
      <w:r>
        <w:rPr/>
        <w:t>management</w:t>
      </w:r>
      <w:r>
        <w:rPr>
          <w:spacing w:val="-4"/>
        </w:rPr>
        <w:t> </w:t>
      </w:r>
      <w:r>
        <w:rPr/>
        <w:t>policy</w:t>
      </w:r>
      <w:r>
        <w:rPr>
          <w:spacing w:val="-9"/>
        </w:rPr>
        <w:t> </w:t>
      </w:r>
      <w:r>
        <w:rPr/>
        <w:t>while</w:t>
      </w:r>
      <w:r>
        <w:rPr>
          <w:spacing w:val="-4"/>
        </w:rPr>
        <w:t> </w:t>
      </w:r>
      <w:r>
        <w:rPr/>
        <w:t>promoting the</w:t>
      </w:r>
      <w:r>
        <w:rPr>
          <w:spacing w:val="-14"/>
        </w:rPr>
        <w:t> </w:t>
      </w:r>
      <w:r>
        <w:rPr/>
        <w:t>well-planned</w:t>
      </w:r>
      <w:r>
        <w:rPr>
          <w:spacing w:val="-11"/>
        </w:rPr>
        <w:t> </w:t>
      </w:r>
      <w:r>
        <w:rPr/>
        <w:t>development</w:t>
      </w:r>
      <w:r>
        <w:rPr>
          <w:spacing w:val="-12"/>
        </w:rPr>
        <w:t> </w:t>
      </w:r>
      <w:r>
        <w:rPr/>
        <w:t>of</w:t>
      </w:r>
      <w:r>
        <w:rPr>
          <w:spacing w:val="-14"/>
        </w:rPr>
        <w:t> </w:t>
      </w:r>
      <w:r>
        <w:rPr/>
        <w:t>unique</w:t>
      </w:r>
      <w:r>
        <w:rPr>
          <w:spacing w:val="-14"/>
        </w:rPr>
        <w:t> </w:t>
      </w:r>
      <w:r>
        <w:rPr/>
        <w:t>and</w:t>
      </w:r>
      <w:r>
        <w:rPr>
          <w:spacing w:val="-11"/>
        </w:rPr>
        <w:t> </w:t>
      </w:r>
      <w:r>
        <w:rPr/>
        <w:t>appealing</w:t>
      </w:r>
      <w:r>
        <w:rPr>
          <w:spacing w:val="-16"/>
        </w:rPr>
        <w:t> </w:t>
      </w:r>
      <w:r>
        <w:rPr/>
        <w:t>places</w:t>
      </w:r>
      <w:r>
        <w:rPr>
          <w:spacing w:val="-12"/>
        </w:rPr>
        <w:t> </w:t>
      </w:r>
      <w:r>
        <w:rPr/>
        <w:t>providing</w:t>
      </w:r>
      <w:r>
        <w:rPr>
          <w:spacing w:val="-16"/>
        </w:rPr>
        <w:t> </w:t>
      </w:r>
      <w:r>
        <w:rPr/>
        <w:t>a</w:t>
      </w:r>
      <w:r>
        <w:rPr>
          <w:spacing w:val="-12"/>
        </w:rPr>
        <w:t> </w:t>
      </w:r>
      <w:r>
        <w:rPr/>
        <w:t>full</w:t>
      </w:r>
      <w:r>
        <w:rPr>
          <w:spacing w:val="-13"/>
        </w:rPr>
        <w:t> </w:t>
      </w:r>
      <w:r>
        <w:rPr/>
        <w:t>spectrum</w:t>
      </w:r>
      <w:r>
        <w:rPr>
          <w:spacing w:val="-13"/>
        </w:rPr>
        <w:t> </w:t>
      </w:r>
      <w:r>
        <w:rPr/>
        <w:t>of</w:t>
      </w:r>
      <w:r>
        <w:rPr>
          <w:spacing w:val="-14"/>
        </w:rPr>
        <w:t> </w:t>
      </w:r>
      <w:r>
        <w:rPr/>
        <w:t>housing and employment options that are linked to supporting commercial, entertainment, educational, agricultural, and recreational activity.</w:t>
      </w:r>
    </w:p>
    <w:p>
      <w:pPr>
        <w:pStyle w:val="Heading3"/>
        <w:jc w:val="left"/>
      </w:pPr>
      <w:r>
        <w:rPr>
          <w:w w:val="90"/>
        </w:rPr>
        <w:t>Introduction</w:t>
      </w:r>
    </w:p>
    <w:p>
      <w:pPr>
        <w:pStyle w:val="BodyText"/>
        <w:spacing w:line="259" w:lineRule="auto" w:before="25"/>
        <w:ind w:right="116" w:firstLine="0"/>
        <w:jc w:val="both"/>
      </w:pPr>
      <w:r>
        <w:rPr/>
        <w:t>Loudoun County has accommodated a high rate of growth over the past decades, concentrating new development in the eastern portion of the County where utilities and roadways have been constructed to serve the population efficiently. Much of Loudoun’s success is due to land use planning that has guided, managed, and directed growth to appropriate locations. Loudoun County’s</w:t>
      </w:r>
      <w:r>
        <w:rPr>
          <w:spacing w:val="-7"/>
        </w:rPr>
        <w:t> </w:t>
      </w:r>
      <w:r>
        <w:rPr/>
        <w:t>growth</w:t>
      </w:r>
      <w:r>
        <w:rPr>
          <w:spacing w:val="-9"/>
        </w:rPr>
        <w:t> </w:t>
      </w:r>
      <w:r>
        <w:rPr/>
        <w:t>management</w:t>
      </w:r>
      <w:r>
        <w:rPr>
          <w:spacing w:val="-9"/>
        </w:rPr>
        <w:t> </w:t>
      </w:r>
      <w:r>
        <w:rPr/>
        <w:t>strategy</w:t>
      </w:r>
      <w:r>
        <w:rPr>
          <w:spacing w:val="-13"/>
        </w:rPr>
        <w:t> </w:t>
      </w:r>
      <w:r>
        <w:rPr/>
        <w:t>has</w:t>
      </w:r>
      <w:r>
        <w:rPr>
          <w:spacing w:val="-9"/>
        </w:rPr>
        <w:t> </w:t>
      </w:r>
      <w:r>
        <w:rPr/>
        <w:t>comprised</w:t>
      </w:r>
      <w:r>
        <w:rPr>
          <w:spacing w:val="-9"/>
        </w:rPr>
        <w:t> </w:t>
      </w:r>
      <w:r>
        <w:rPr/>
        <w:t>an</w:t>
      </w:r>
      <w:r>
        <w:rPr>
          <w:spacing w:val="-6"/>
        </w:rPr>
        <w:t> </w:t>
      </w:r>
      <w:r>
        <w:rPr/>
        <w:t>approach</w:t>
      </w:r>
      <w:r>
        <w:rPr>
          <w:spacing w:val="-9"/>
        </w:rPr>
        <w:t> </w:t>
      </w:r>
      <w:r>
        <w:rPr/>
        <w:t>that</w:t>
      </w:r>
      <w:r>
        <w:rPr>
          <w:spacing w:val="-8"/>
        </w:rPr>
        <w:t> </w:t>
      </w:r>
      <w:r>
        <w:rPr/>
        <w:t>1)</w:t>
      </w:r>
      <w:r>
        <w:rPr>
          <w:spacing w:val="-9"/>
        </w:rPr>
        <w:t> </w:t>
      </w:r>
      <w:r>
        <w:rPr/>
        <w:t>focuses</w:t>
      </w:r>
      <w:r>
        <w:rPr>
          <w:spacing w:val="-8"/>
        </w:rPr>
        <w:t> </w:t>
      </w:r>
      <w:r>
        <w:rPr/>
        <w:t>the</w:t>
      </w:r>
      <w:r>
        <w:rPr>
          <w:spacing w:val="-9"/>
        </w:rPr>
        <w:t> </w:t>
      </w:r>
      <w:r>
        <w:rPr/>
        <w:t>location</w:t>
      </w:r>
      <w:r>
        <w:rPr>
          <w:spacing w:val="-9"/>
        </w:rPr>
        <w:t> </w:t>
      </w:r>
      <w:r>
        <w:rPr/>
        <w:t>and intensity of development in eastern Loudoun and around towns, which maintains the agricultural character, pastoral landscapes, and natural resources of the County’s rural areas; 2) uses service standards and development forecasting to plan the location and timing of investments in infrastructure, facilities and services; and 3) calculates a fair share contribution by new development towards associated capital facility impacts. This approach recognizes that more concentrated population centers better facilitate the provision of emergency response services, roads, utilities, and public facilities. Further, the location of such services and facilities often guides subsequent development patterns. By concentrating these services </w:t>
      </w:r>
      <w:r>
        <w:rPr>
          <w:spacing w:val="1"/>
        </w:rPr>
        <w:t>in </w:t>
      </w:r>
      <w:r>
        <w:rPr/>
        <w:t>the more developed areas of the county and appropriately scaling their availability and levels of service in the less developed areas, the County facilitates growth patterns that help achieve long-term land use, environmental, economic, and fiscal</w:t>
      </w:r>
      <w:r>
        <w:rPr>
          <w:spacing w:val="1"/>
        </w:rPr>
        <w:t> </w:t>
      </w:r>
      <w:r>
        <w:rPr/>
        <w:t>goals.</w:t>
      </w:r>
    </w:p>
    <w:p>
      <w:pPr>
        <w:pStyle w:val="BodyText"/>
        <w:spacing w:line="259" w:lineRule="auto" w:before="157"/>
        <w:ind w:right="117" w:firstLine="0"/>
        <w:jc w:val="both"/>
      </w:pPr>
      <w:r>
        <w:rPr/>
        <w:t>Loudoun will continue to be an attractive place for development given its geographic location, school</w:t>
      </w:r>
      <w:r>
        <w:rPr>
          <w:spacing w:val="-8"/>
        </w:rPr>
        <w:t> </w:t>
      </w:r>
      <w:r>
        <w:rPr/>
        <w:t>system</w:t>
      </w:r>
      <w:r>
        <w:rPr>
          <w:spacing w:val="-6"/>
        </w:rPr>
        <w:t> </w:t>
      </w:r>
      <w:r>
        <w:rPr/>
        <w:t>performance,</w:t>
      </w:r>
      <w:r>
        <w:rPr>
          <w:spacing w:val="-7"/>
        </w:rPr>
        <w:t> </w:t>
      </w:r>
      <w:r>
        <w:rPr/>
        <w:t>business-friendly</w:t>
      </w:r>
      <w:r>
        <w:rPr>
          <w:spacing w:val="-13"/>
        </w:rPr>
        <w:t> </w:t>
      </w:r>
      <w:r>
        <w:rPr/>
        <w:t>practices,</w:t>
      </w:r>
      <w:r>
        <w:rPr>
          <w:spacing w:val="-7"/>
        </w:rPr>
        <w:t> </w:t>
      </w:r>
      <w:r>
        <w:rPr/>
        <w:t>and</w:t>
      </w:r>
      <w:r>
        <w:rPr>
          <w:spacing w:val="-9"/>
        </w:rPr>
        <w:t> </w:t>
      </w:r>
      <w:r>
        <w:rPr/>
        <w:t>notable</w:t>
      </w:r>
      <w:r>
        <w:rPr>
          <w:spacing w:val="-9"/>
        </w:rPr>
        <w:t> </w:t>
      </w:r>
      <w:r>
        <w:rPr/>
        <w:t>quality</w:t>
      </w:r>
      <w:r>
        <w:rPr>
          <w:spacing w:val="-11"/>
        </w:rPr>
        <w:t> </w:t>
      </w:r>
      <w:r>
        <w:rPr/>
        <w:t>of</w:t>
      </w:r>
      <w:r>
        <w:rPr>
          <w:spacing w:val="-9"/>
        </w:rPr>
        <w:t> </w:t>
      </w:r>
      <w:r>
        <w:rPr/>
        <w:t>life.</w:t>
      </w:r>
      <w:r>
        <w:rPr>
          <w:spacing w:val="-9"/>
        </w:rPr>
        <w:t> </w:t>
      </w:r>
      <w:r>
        <w:rPr/>
        <w:t>However,</w:t>
      </w:r>
      <w:r>
        <w:rPr>
          <w:spacing w:val="-9"/>
        </w:rPr>
        <w:t> </w:t>
      </w:r>
      <w:r>
        <w:rPr/>
        <w:t>new land use policies and approaches are needed to address a constrained land supply, the County’s connection</w:t>
      </w:r>
      <w:r>
        <w:rPr>
          <w:spacing w:val="-6"/>
        </w:rPr>
        <w:t> </w:t>
      </w:r>
      <w:r>
        <w:rPr/>
        <w:t>to</w:t>
      </w:r>
      <w:r>
        <w:rPr>
          <w:spacing w:val="-6"/>
        </w:rPr>
        <w:t> </w:t>
      </w:r>
      <w:r>
        <w:rPr/>
        <w:t>the</w:t>
      </w:r>
      <w:r>
        <w:rPr>
          <w:spacing w:val="-7"/>
        </w:rPr>
        <w:t> </w:t>
      </w:r>
      <w:r>
        <w:rPr/>
        <w:t>regional</w:t>
      </w:r>
      <w:r>
        <w:rPr>
          <w:spacing w:val="-5"/>
        </w:rPr>
        <w:t> </w:t>
      </w:r>
      <w:r>
        <w:rPr/>
        <w:t>Washington</w:t>
      </w:r>
      <w:r>
        <w:rPr>
          <w:spacing w:val="-6"/>
        </w:rPr>
        <w:t> </w:t>
      </w:r>
      <w:r>
        <w:rPr/>
        <w:t>Metropolitan</w:t>
      </w:r>
      <w:r>
        <w:rPr>
          <w:spacing w:val="-7"/>
        </w:rPr>
        <w:t> </w:t>
      </w:r>
      <w:r>
        <w:rPr/>
        <w:t>Area</w:t>
      </w:r>
      <w:r>
        <w:rPr>
          <w:spacing w:val="-7"/>
        </w:rPr>
        <w:t> </w:t>
      </w:r>
      <w:r>
        <w:rPr/>
        <w:t>Transit</w:t>
      </w:r>
      <w:r>
        <w:rPr>
          <w:spacing w:val="-5"/>
        </w:rPr>
        <w:t> </w:t>
      </w:r>
      <w:r>
        <w:rPr/>
        <w:t>Authority</w:t>
      </w:r>
      <w:r>
        <w:rPr>
          <w:spacing w:val="-9"/>
        </w:rPr>
        <w:t> </w:t>
      </w:r>
      <w:r>
        <w:rPr/>
        <w:t>(WMATA)</w:t>
      </w:r>
      <w:r>
        <w:rPr>
          <w:spacing w:val="-7"/>
        </w:rPr>
        <w:t> </w:t>
      </w:r>
      <w:r>
        <w:rPr/>
        <w:t>Metrorail network</w:t>
      </w:r>
      <w:r>
        <w:rPr>
          <w:spacing w:val="-9"/>
        </w:rPr>
        <w:t> </w:t>
      </w:r>
      <w:r>
        <w:rPr/>
        <w:t>through</w:t>
      </w:r>
      <w:r>
        <w:rPr>
          <w:spacing w:val="-7"/>
        </w:rPr>
        <w:t> </w:t>
      </w:r>
      <w:r>
        <w:rPr/>
        <w:t>the</w:t>
      </w:r>
      <w:r>
        <w:rPr>
          <w:spacing w:val="-9"/>
        </w:rPr>
        <w:t> </w:t>
      </w:r>
      <w:r>
        <w:rPr/>
        <w:t>Silver</w:t>
      </w:r>
      <w:r>
        <w:rPr>
          <w:spacing w:val="-7"/>
        </w:rPr>
        <w:t> </w:t>
      </w:r>
      <w:r>
        <w:rPr/>
        <w:t>Line</w:t>
      </w:r>
      <w:r>
        <w:rPr>
          <w:spacing w:val="-7"/>
        </w:rPr>
        <w:t> </w:t>
      </w:r>
      <w:r>
        <w:rPr/>
        <w:t>extension</w:t>
      </w:r>
      <w:r>
        <w:rPr>
          <w:spacing w:val="-8"/>
        </w:rPr>
        <w:t> </w:t>
      </w:r>
      <w:r>
        <w:rPr/>
        <w:t>in</w:t>
      </w:r>
      <w:r>
        <w:rPr>
          <w:spacing w:val="-8"/>
        </w:rPr>
        <w:t> </w:t>
      </w:r>
      <w:r>
        <w:rPr/>
        <w:t>2020,</w:t>
      </w:r>
      <w:r>
        <w:rPr>
          <w:spacing w:val="-9"/>
        </w:rPr>
        <w:t> </w:t>
      </w:r>
      <w:r>
        <w:rPr/>
        <w:t>and</w:t>
      </w:r>
      <w:r>
        <w:rPr>
          <w:spacing w:val="-9"/>
        </w:rPr>
        <w:t> </w:t>
      </w:r>
      <w:r>
        <w:rPr/>
        <w:t>the</w:t>
      </w:r>
      <w:r>
        <w:rPr>
          <w:spacing w:val="-7"/>
        </w:rPr>
        <w:t> </w:t>
      </w:r>
      <w:r>
        <w:rPr/>
        <w:t>growing</w:t>
      </w:r>
      <w:r>
        <w:rPr>
          <w:spacing w:val="-9"/>
        </w:rPr>
        <w:t> </w:t>
      </w:r>
      <w:r>
        <w:rPr/>
        <w:t>demand</w:t>
      </w:r>
      <w:r>
        <w:rPr>
          <w:spacing w:val="-9"/>
        </w:rPr>
        <w:t> </w:t>
      </w:r>
      <w:r>
        <w:rPr/>
        <w:t>for</w:t>
      </w:r>
      <w:r>
        <w:rPr>
          <w:spacing w:val="-8"/>
        </w:rPr>
        <w:t> </w:t>
      </w:r>
      <w:r>
        <w:rPr/>
        <w:t>new</w:t>
      </w:r>
      <w:r>
        <w:rPr>
          <w:spacing w:val="-7"/>
        </w:rPr>
        <w:t> </w:t>
      </w:r>
      <w:r>
        <w:rPr/>
        <w:t>development options.</w:t>
      </w:r>
    </w:p>
    <w:p>
      <w:pPr>
        <w:pStyle w:val="Heading3"/>
        <w:spacing w:before="169"/>
        <w:jc w:val="left"/>
      </w:pPr>
      <w:r>
        <w:rPr>
          <w:w w:val="95"/>
        </w:rPr>
        <w:t>Expected Growth and Development Patterns</w:t>
      </w:r>
    </w:p>
    <w:p>
      <w:pPr>
        <w:pStyle w:val="BodyText"/>
        <w:spacing w:line="259" w:lineRule="auto" w:before="26"/>
        <w:ind w:right="115" w:firstLine="0"/>
        <w:jc w:val="both"/>
      </w:pPr>
      <w:r>
        <w:rPr/>
        <w:t>Building</w:t>
      </w:r>
      <w:r>
        <w:rPr>
          <w:spacing w:val="-8"/>
        </w:rPr>
        <w:t> </w:t>
      </w:r>
      <w:r>
        <w:rPr/>
        <w:t>upon</w:t>
      </w:r>
      <w:r>
        <w:rPr>
          <w:spacing w:val="-4"/>
        </w:rPr>
        <w:t> </w:t>
      </w:r>
      <w:r>
        <w:rPr/>
        <w:t>the</w:t>
      </w:r>
      <w:r>
        <w:rPr>
          <w:spacing w:val="-7"/>
        </w:rPr>
        <w:t> </w:t>
      </w:r>
      <w:r>
        <w:rPr/>
        <w:t>County’s</w:t>
      </w:r>
      <w:r>
        <w:rPr>
          <w:spacing w:val="-6"/>
        </w:rPr>
        <w:t> </w:t>
      </w:r>
      <w:r>
        <w:rPr/>
        <w:t>successful</w:t>
      </w:r>
      <w:r>
        <w:rPr>
          <w:spacing w:val="-6"/>
        </w:rPr>
        <w:t> </w:t>
      </w:r>
      <w:r>
        <w:rPr/>
        <w:t>planning</w:t>
      </w:r>
      <w:r>
        <w:rPr>
          <w:spacing w:val="-9"/>
        </w:rPr>
        <w:t> </w:t>
      </w:r>
      <w:r>
        <w:rPr/>
        <w:t>policy,</w:t>
      </w:r>
      <w:r>
        <w:rPr>
          <w:spacing w:val="-6"/>
        </w:rPr>
        <w:t> </w:t>
      </w:r>
      <w:r>
        <w:rPr/>
        <w:t>the</w:t>
      </w:r>
      <w:r>
        <w:rPr>
          <w:spacing w:val="-5"/>
        </w:rPr>
        <w:t> </w:t>
      </w:r>
      <w:r>
        <w:rPr/>
        <w:t>land</w:t>
      </w:r>
      <w:r>
        <w:rPr>
          <w:spacing w:val="-7"/>
        </w:rPr>
        <w:t> </w:t>
      </w:r>
      <w:r>
        <w:rPr/>
        <w:t>use</w:t>
      </w:r>
      <w:r>
        <w:rPr>
          <w:spacing w:val="-5"/>
        </w:rPr>
        <w:t> </w:t>
      </w:r>
      <w:r>
        <w:rPr/>
        <w:t>policies</w:t>
      </w:r>
      <w:r>
        <w:rPr>
          <w:spacing w:val="-6"/>
        </w:rPr>
        <w:t> </w:t>
      </w:r>
      <w:r>
        <w:rPr/>
        <w:t>of</w:t>
      </w:r>
      <w:r>
        <w:rPr>
          <w:spacing w:val="-7"/>
        </w:rPr>
        <w:t> </w:t>
      </w:r>
      <w:r>
        <w:rPr/>
        <w:t>the</w:t>
      </w:r>
      <w:r>
        <w:rPr>
          <w:spacing w:val="-1"/>
        </w:rPr>
        <w:t> </w:t>
      </w:r>
      <w:r>
        <w:rPr>
          <w:i/>
        </w:rPr>
        <w:t>Loudoun</w:t>
      </w:r>
      <w:r>
        <w:rPr>
          <w:i/>
          <w:spacing w:val="-6"/>
        </w:rPr>
        <w:t> </w:t>
      </w:r>
      <w:r>
        <w:rPr>
          <w:i/>
        </w:rPr>
        <w:t>2040 </w:t>
      </w:r>
      <w:r>
        <w:rPr>
          <w:i/>
        </w:rPr>
        <w:t>General</w:t>
      </w:r>
      <w:r>
        <w:rPr>
          <w:i/>
          <w:spacing w:val="-8"/>
        </w:rPr>
        <w:t> </w:t>
      </w:r>
      <w:r>
        <w:rPr>
          <w:i/>
        </w:rPr>
        <w:t>Plan</w:t>
      </w:r>
      <w:r>
        <w:rPr>
          <w:i/>
          <w:spacing w:val="-8"/>
        </w:rPr>
        <w:t> </w:t>
      </w:r>
      <w:r>
        <w:rPr/>
        <w:t>(Plan)</w:t>
      </w:r>
      <w:r>
        <w:rPr>
          <w:spacing w:val="-9"/>
        </w:rPr>
        <w:t> </w:t>
      </w:r>
      <w:r>
        <w:rPr/>
        <w:t>are</w:t>
      </w:r>
      <w:r>
        <w:rPr>
          <w:spacing w:val="-10"/>
        </w:rPr>
        <w:t> </w:t>
      </w:r>
      <w:r>
        <w:rPr/>
        <w:t>largely</w:t>
      </w:r>
      <w:r>
        <w:rPr>
          <w:spacing w:val="-16"/>
        </w:rPr>
        <w:t> </w:t>
      </w:r>
      <w:r>
        <w:rPr/>
        <w:t>organized</w:t>
      </w:r>
      <w:r>
        <w:rPr>
          <w:spacing w:val="-9"/>
        </w:rPr>
        <w:t> </w:t>
      </w:r>
      <w:r>
        <w:rPr/>
        <w:t>by</w:t>
      </w:r>
      <w:r>
        <w:rPr>
          <w:spacing w:val="-11"/>
        </w:rPr>
        <w:t> </w:t>
      </w:r>
      <w:r>
        <w:rPr/>
        <w:t>geographic</w:t>
      </w:r>
      <w:r>
        <w:rPr>
          <w:spacing w:val="-9"/>
        </w:rPr>
        <w:t> </w:t>
      </w:r>
      <w:r>
        <w:rPr/>
        <w:t>Policy</w:t>
      </w:r>
      <w:r>
        <w:rPr>
          <w:spacing w:val="-13"/>
        </w:rPr>
        <w:t> </w:t>
      </w:r>
      <w:r>
        <w:rPr/>
        <w:t>Areas</w:t>
      </w:r>
      <w:r>
        <w:rPr>
          <w:spacing w:val="-8"/>
        </w:rPr>
        <w:t> </w:t>
      </w:r>
      <w:r>
        <w:rPr/>
        <w:t>that</w:t>
      </w:r>
      <w:r>
        <w:rPr>
          <w:spacing w:val="-9"/>
        </w:rPr>
        <w:t> </w:t>
      </w:r>
      <w:r>
        <w:rPr/>
        <w:t>serve</w:t>
      </w:r>
      <w:r>
        <w:rPr>
          <w:spacing w:val="-10"/>
        </w:rPr>
        <w:t> </w:t>
      </w:r>
      <w:r>
        <w:rPr/>
        <w:t>to</w:t>
      </w:r>
      <w:r>
        <w:rPr>
          <w:spacing w:val="-8"/>
        </w:rPr>
        <w:t> </w:t>
      </w:r>
      <w:r>
        <w:rPr/>
        <w:t>prioritize</w:t>
      </w:r>
      <w:r>
        <w:rPr>
          <w:spacing w:val="-5"/>
        </w:rPr>
        <w:t> </w:t>
      </w:r>
      <w:r>
        <w:rPr/>
        <w:t>areas for new growth and development based on the availability of existing and planned infrastructure and public facilities. Accordingly, this chapter describes the four Policy Areas that provide the geographic</w:t>
      </w:r>
      <w:r>
        <w:rPr>
          <w:spacing w:val="-10"/>
        </w:rPr>
        <w:t> </w:t>
      </w:r>
      <w:r>
        <w:rPr/>
        <w:t>framework</w:t>
      </w:r>
      <w:r>
        <w:rPr>
          <w:spacing w:val="-9"/>
        </w:rPr>
        <w:t> </w:t>
      </w:r>
      <w:r>
        <w:rPr/>
        <w:t>for</w:t>
      </w:r>
      <w:r>
        <w:rPr>
          <w:spacing w:val="-13"/>
        </w:rPr>
        <w:t> </w:t>
      </w:r>
      <w:r>
        <w:rPr/>
        <w:t>the</w:t>
      </w:r>
      <w:r>
        <w:rPr>
          <w:spacing w:val="-12"/>
        </w:rPr>
        <w:t> </w:t>
      </w:r>
      <w:r>
        <w:rPr/>
        <w:t>County’s</w:t>
      </w:r>
      <w:r>
        <w:rPr>
          <w:spacing w:val="-10"/>
        </w:rPr>
        <w:t> </w:t>
      </w:r>
      <w:r>
        <w:rPr/>
        <w:t>growth</w:t>
      </w:r>
      <w:r>
        <w:rPr>
          <w:spacing w:val="-12"/>
        </w:rPr>
        <w:t> </w:t>
      </w:r>
      <w:r>
        <w:rPr/>
        <w:t>management</w:t>
      </w:r>
      <w:r>
        <w:rPr>
          <w:spacing w:val="-11"/>
        </w:rPr>
        <w:t> </w:t>
      </w:r>
      <w:r>
        <w:rPr/>
        <w:t>and</w:t>
      </w:r>
      <w:r>
        <w:rPr>
          <w:spacing w:val="-12"/>
        </w:rPr>
        <w:t> </w:t>
      </w:r>
      <w:r>
        <w:rPr/>
        <w:t>land</w:t>
      </w:r>
      <w:r>
        <w:rPr>
          <w:spacing w:val="-12"/>
        </w:rPr>
        <w:t> </w:t>
      </w:r>
      <w:r>
        <w:rPr/>
        <w:t>use</w:t>
      </w:r>
      <w:r>
        <w:rPr>
          <w:spacing w:val="-12"/>
        </w:rPr>
        <w:t> </w:t>
      </w:r>
      <w:r>
        <w:rPr/>
        <w:t>strategies.</w:t>
      </w:r>
      <w:r>
        <w:rPr>
          <w:spacing w:val="-12"/>
        </w:rPr>
        <w:t> </w:t>
      </w:r>
      <w:r>
        <w:rPr/>
        <w:t>The</w:t>
      </w:r>
      <w:r>
        <w:rPr>
          <w:spacing w:val="-13"/>
        </w:rPr>
        <w:t> </w:t>
      </w:r>
      <w:r>
        <w:rPr>
          <w:i/>
        </w:rPr>
        <w:t>Loudoun </w:t>
      </w:r>
      <w:r>
        <w:rPr>
          <w:i/>
        </w:rPr>
        <w:t>2040 General Plan </w:t>
      </w:r>
      <w:r>
        <w:rPr/>
        <w:t>includes the Suburban Policy Area (SPA), Transition Policy Area (TPA), and Rural Policy Area (RPA) from the previous </w:t>
      </w:r>
      <w:r>
        <w:rPr>
          <w:i/>
        </w:rPr>
        <w:t>Revised General Plan </w:t>
      </w:r>
      <w:r>
        <w:rPr/>
        <w:t>and establishes new Urban Policy Areas (UPA) in eastern Loudoun</w:t>
      </w:r>
      <w:r>
        <w:rPr>
          <w:spacing w:val="-3"/>
        </w:rPr>
        <w:t> </w:t>
      </w:r>
      <w:r>
        <w:rPr/>
        <w:t>County.</w:t>
      </w:r>
    </w:p>
    <w:p>
      <w:pPr>
        <w:spacing w:after="0" w:line="259" w:lineRule="auto"/>
        <w:jc w:val="both"/>
        <w:sectPr>
          <w:pgSz w:w="12240" w:h="15840"/>
          <w:pgMar w:header="719" w:footer="540" w:top="1300" w:bottom="740" w:left="1340" w:right="1320"/>
        </w:sectPr>
      </w:pPr>
    </w:p>
    <w:p>
      <w:pPr>
        <w:pStyle w:val="BodyText"/>
        <w:spacing w:line="259" w:lineRule="auto" w:before="117"/>
        <w:ind w:right="115" w:firstLine="0"/>
        <w:jc w:val="both"/>
      </w:pPr>
      <w:r>
        <w:rPr/>
        <w:pict>
          <v:shape style="position:absolute;margin-left:90.066002pt;margin-top:120.643112pt;width:395.3pt;height:419pt;mso-position-horizontal-relative:page;mso-position-vertical-relative:paragraph;z-index:-10672" coordorigin="1801,2413" coordsize="7906,8380" path="m4498,9677l4492,9603,4477,9525,4455,9442,4432,9373,4402,9301,4367,9226,4325,9148,4276,9067,4236,9008,4200,8958,4200,9643,4197,9700,4185,9756,4167,9814,4138,9874,4097,9936,4044,10002,3979,10072,3674,10377,2216,8919,2517,8619,2598,8543,2672,8483,2740,8439,2801,8413,2868,8398,2941,8394,3020,8401,3105,8419,3195,8448,3255,8474,3317,8506,3380,8544,3446,8589,3514,8641,3584,8699,3656,8764,3729,8835,3789,8897,3844,8957,3896,9016,3943,9074,3986,9130,4024,9186,4059,9239,4101,9314,4136,9386,4163,9456,4183,9523,4196,9587,4200,9643,4200,8958,4194,8949,4148,8889,4098,8828,4045,8767,3989,8706,3929,8644,3865,8582,3801,8523,3737,8468,3673,8417,3643,8394,3609,8369,3546,8324,3482,8283,3419,8245,3346,8208,3274,8175,3203,8148,3132,8126,3062,8109,2992,8097,2923,8090,2850,8088,2779,8095,2709,8110,2642,8133,2577,8163,2528,8191,2476,8228,2420,8274,2359,8328,2294,8391,1801,8884,3710,10792,4124,10377,4226,10275,4287,10210,4341,10145,4386,10079,4424,10012,4454,9946,4476,9880,4491,9813,4498,9745,4498,9677m6418,8083l6056,7956,5650,7813,5561,7784,5475,7760,5393,7741,5364,7735,5314,7726,5239,7716,5193,7715,5143,7718,5089,7725,5030,7735,5074,7666,5109,7596,5136,7527,5154,7458,5164,7390,5165,7322,5157,7254,5139,7176,5111,7100,5075,7025,5030,6952,4976,6882,4956,6859,4913,6813,4872,6775,4872,7332,4868,7388,4854,7443,4830,7499,4794,7558,4747,7619,4687,7682,4413,7956,4280,8089,3649,7458,4102,7005,4166,6948,4229,6905,4293,6875,4358,6860,4422,6859,4501,6874,4577,6904,4649,6949,4718,7008,4761,7056,4797,7107,4827,7160,4851,7217,4867,7275,4872,7332,4872,6775,4849,6753,4782,6701,4713,6656,4641,6617,4566,6585,4474,6557,4386,6544,4303,6546,4225,6562,4163,6587,4098,6623,4030,6671,3958,6731,3883,6802,3248,7437,5157,9345,5346,9155,4499,8308,4718,8089,4753,8055,4783,8027,4810,8006,4833,7992,4863,7978,4896,7968,4932,7960,4971,7956,5014,7956,5066,7961,5125,7971,5194,7988,5256,8005,5328,8026,5407,8051,5496,8080,6180,8321,6418,8083m7780,6721l7415,6526,6555,6072,6555,6379,6070,6864,5989,6721,5748,6290,5708,6219,5668,6147,5629,6082,5590,6017,5550,5953,5509,5890,5467,5828,5424,5766,5380,5706,5436,5741,5498,5779,5564,5819,5635,5861,5792,5952,6555,6379,6555,6072,5862,5706,5286,5399,5082,5603,5277,5953,5316,6024,5701,6721,6168,7570,6441,8061,6642,7860,6565,7726,6298,7258,6221,7124,6481,6864,6820,6526,7565,6937,7780,6721m8131,6371l7264,5504,7489,5278,7936,4832,7711,4607,7039,5278,6448,4688,7224,3911,6999,3686,6033,4652,7941,6560,8131,6371m9707,4795l8213,3301,8024,3112,8497,2638,8272,2413,7138,3547,7363,3773,7834,3301,9517,4984,9707,4795e" filled="true" fillcolor="#c0c0c0" stroked="false">
            <v:path arrowok="t"/>
            <v:fill opacity="32896f" type="solid"/>
            <w10:wrap type="none"/>
          </v:shape>
        </w:pict>
      </w:r>
      <w:r>
        <w:rPr/>
        <w:t>The UPAs are intended to accommodate living, working, shopping, and playing in a dense urban environment, creating complete communities that will serve as centers of activity for the county. The Plan designates two areas around the Silver Line Metro stations as UPAs, envisioning these areas to develop as dense urban centers. Both areas represent major growth opportunities for the County and are planned to provide for walkable mixed-use and transit-oriented development that will</w:t>
      </w:r>
      <w:r>
        <w:rPr>
          <w:spacing w:val="-3"/>
        </w:rPr>
        <w:t> </w:t>
      </w:r>
      <w:r>
        <w:rPr/>
        <w:t>more</w:t>
      </w:r>
      <w:r>
        <w:rPr>
          <w:spacing w:val="-5"/>
        </w:rPr>
        <w:t> </w:t>
      </w:r>
      <w:r>
        <w:rPr/>
        <w:t>efficiently</w:t>
      </w:r>
      <w:r>
        <w:rPr>
          <w:spacing w:val="-9"/>
        </w:rPr>
        <w:t> </w:t>
      </w:r>
      <w:r>
        <w:rPr/>
        <w:t>absorb</w:t>
      </w:r>
      <w:r>
        <w:rPr>
          <w:spacing w:val="-5"/>
        </w:rPr>
        <w:t> </w:t>
      </w:r>
      <w:r>
        <w:rPr/>
        <w:t>much</w:t>
      </w:r>
      <w:r>
        <w:rPr>
          <w:spacing w:val="-4"/>
        </w:rPr>
        <w:t> </w:t>
      </w:r>
      <w:r>
        <w:rPr/>
        <w:t>of</w:t>
      </w:r>
      <w:r>
        <w:rPr>
          <w:spacing w:val="-5"/>
        </w:rPr>
        <w:t> </w:t>
      </w:r>
      <w:r>
        <w:rPr/>
        <w:t>the</w:t>
      </w:r>
      <w:r>
        <w:rPr>
          <w:spacing w:val="-4"/>
        </w:rPr>
        <w:t> </w:t>
      </w:r>
      <w:r>
        <w:rPr/>
        <w:t>County’s</w:t>
      </w:r>
      <w:r>
        <w:rPr>
          <w:spacing w:val="-4"/>
        </w:rPr>
        <w:t> </w:t>
      </w:r>
      <w:r>
        <w:rPr/>
        <w:t>anticipated</w:t>
      </w:r>
      <w:r>
        <w:rPr>
          <w:spacing w:val="-4"/>
        </w:rPr>
        <w:t> </w:t>
      </w:r>
      <w:r>
        <w:rPr/>
        <w:t>growth,</w:t>
      </w:r>
      <w:r>
        <w:rPr>
          <w:spacing w:val="-4"/>
        </w:rPr>
        <w:t> </w:t>
      </w:r>
      <w:r>
        <w:rPr/>
        <w:t>offer</w:t>
      </w:r>
      <w:r>
        <w:rPr>
          <w:spacing w:val="-2"/>
        </w:rPr>
        <w:t> </w:t>
      </w:r>
      <w:r>
        <w:rPr/>
        <w:t>a</w:t>
      </w:r>
      <w:r>
        <w:rPr>
          <w:spacing w:val="-5"/>
        </w:rPr>
        <w:t> </w:t>
      </w:r>
      <w:r>
        <w:rPr/>
        <w:t>diversity</w:t>
      </w:r>
      <w:r>
        <w:rPr>
          <w:spacing w:val="-11"/>
        </w:rPr>
        <w:t> </w:t>
      </w:r>
      <w:r>
        <w:rPr/>
        <w:t>of</w:t>
      </w:r>
      <w:r>
        <w:rPr>
          <w:spacing w:val="-5"/>
        </w:rPr>
        <w:t> </w:t>
      </w:r>
      <w:r>
        <w:rPr/>
        <w:t>housing to meet changing housing needs, and offer flexible land use policies to allow for innovation and changing market</w:t>
      </w:r>
      <w:r>
        <w:rPr>
          <w:spacing w:val="-4"/>
        </w:rPr>
        <w:t> </w:t>
      </w:r>
      <w:r>
        <w:rPr/>
        <w:t>demands.</w:t>
      </w:r>
    </w:p>
    <w:p>
      <w:pPr>
        <w:pStyle w:val="BodyText"/>
        <w:spacing w:line="259" w:lineRule="auto" w:before="158"/>
        <w:ind w:right="115" w:firstLine="0"/>
        <w:jc w:val="both"/>
      </w:pPr>
      <w:r>
        <w:rPr/>
        <w:t>The SPA continues to be planned for additional growth and development though at a lesser intensity than the Urban Policy Areas. However, rapid growth in the SPA in recent decades has significantly reduced the amount of developable land and subsequently reduced this area’s capacity</w:t>
      </w:r>
      <w:r>
        <w:rPr>
          <w:spacing w:val="-16"/>
        </w:rPr>
        <w:t> </w:t>
      </w:r>
      <w:r>
        <w:rPr/>
        <w:t>to</w:t>
      </w:r>
      <w:r>
        <w:rPr>
          <w:spacing w:val="-8"/>
        </w:rPr>
        <w:t> </w:t>
      </w:r>
      <w:r>
        <w:rPr/>
        <w:t>accommodate</w:t>
      </w:r>
      <w:r>
        <w:rPr>
          <w:spacing w:val="-10"/>
        </w:rPr>
        <w:t> </w:t>
      </w:r>
      <w:r>
        <w:rPr/>
        <w:t>substantial</w:t>
      </w:r>
      <w:r>
        <w:rPr>
          <w:spacing w:val="-11"/>
        </w:rPr>
        <w:t> </w:t>
      </w:r>
      <w:r>
        <w:rPr/>
        <w:t>growth.</w:t>
      </w:r>
      <w:r>
        <w:rPr>
          <w:spacing w:val="-11"/>
        </w:rPr>
        <w:t> </w:t>
      </w:r>
      <w:r>
        <w:rPr/>
        <w:t>This</w:t>
      </w:r>
      <w:r>
        <w:rPr>
          <w:spacing w:val="-8"/>
        </w:rPr>
        <w:t> </w:t>
      </w:r>
      <w:r>
        <w:rPr/>
        <w:t>represents</w:t>
      </w:r>
      <w:r>
        <w:rPr>
          <w:spacing w:val="-10"/>
        </w:rPr>
        <w:t> </w:t>
      </w:r>
      <w:r>
        <w:rPr/>
        <w:t>a</w:t>
      </w:r>
      <w:r>
        <w:rPr>
          <w:spacing w:val="-12"/>
        </w:rPr>
        <w:t> </w:t>
      </w:r>
      <w:r>
        <w:rPr/>
        <w:t>significant</w:t>
      </w:r>
      <w:r>
        <w:rPr>
          <w:spacing w:val="-11"/>
        </w:rPr>
        <w:t> </w:t>
      </w:r>
      <w:r>
        <w:rPr/>
        <w:t>juncture</w:t>
      </w:r>
      <w:r>
        <w:rPr>
          <w:spacing w:val="-12"/>
        </w:rPr>
        <w:t> </w:t>
      </w:r>
      <w:r>
        <w:rPr/>
        <w:t>in</w:t>
      </w:r>
      <w:r>
        <w:rPr>
          <w:spacing w:val="-11"/>
        </w:rPr>
        <w:t> </w:t>
      </w:r>
      <w:r>
        <w:rPr/>
        <w:t>the</w:t>
      </w:r>
      <w:r>
        <w:rPr>
          <w:spacing w:val="-12"/>
        </w:rPr>
        <w:t> </w:t>
      </w:r>
      <w:r>
        <w:rPr/>
        <w:t>County’s planning and development history as development efforts will be forced to increasingly prioritize infill development on the few remaining vacant parcels in the SPA as well as the redevelopment and adaptive reuse of existing</w:t>
      </w:r>
      <w:r>
        <w:rPr>
          <w:spacing w:val="-4"/>
        </w:rPr>
        <w:t> </w:t>
      </w:r>
      <w:r>
        <w:rPr/>
        <w:t>buildings.</w:t>
      </w:r>
    </w:p>
    <w:p>
      <w:pPr>
        <w:pStyle w:val="BodyText"/>
        <w:spacing w:line="259" w:lineRule="auto" w:before="160"/>
        <w:ind w:right="117" w:firstLine="0"/>
        <w:jc w:val="both"/>
      </w:pPr>
      <w:r>
        <w:rPr/>
        <w:t>The TPA is intended to be visually distinct from the Suburban and Rural Policy Areas with a development pattern focused on retaining substantial open space within the context of an assortment</w:t>
      </w:r>
      <w:r>
        <w:rPr>
          <w:spacing w:val="-8"/>
        </w:rPr>
        <w:t> </w:t>
      </w:r>
      <w:r>
        <w:rPr/>
        <w:t>of</w:t>
      </w:r>
      <w:r>
        <w:rPr>
          <w:spacing w:val="-9"/>
        </w:rPr>
        <w:t> </w:t>
      </w:r>
      <w:r>
        <w:rPr/>
        <w:t>community</w:t>
      </w:r>
      <w:r>
        <w:rPr>
          <w:spacing w:val="-11"/>
        </w:rPr>
        <w:t> </w:t>
      </w:r>
      <w:r>
        <w:rPr/>
        <w:t>designs.</w:t>
      </w:r>
      <w:r>
        <w:rPr>
          <w:spacing w:val="-9"/>
        </w:rPr>
        <w:t> </w:t>
      </w:r>
      <w:r>
        <w:rPr/>
        <w:t>The</w:t>
      </w:r>
      <w:r>
        <w:rPr>
          <w:spacing w:val="-10"/>
        </w:rPr>
        <w:t> </w:t>
      </w:r>
      <w:r>
        <w:rPr/>
        <w:t>open</w:t>
      </w:r>
      <w:r>
        <w:rPr>
          <w:spacing w:val="-9"/>
        </w:rPr>
        <w:t> </w:t>
      </w:r>
      <w:r>
        <w:rPr/>
        <w:t>spaces</w:t>
      </w:r>
      <w:r>
        <w:rPr>
          <w:spacing w:val="-8"/>
        </w:rPr>
        <w:t> </w:t>
      </w:r>
      <w:r>
        <w:rPr/>
        <w:t>serve</w:t>
      </w:r>
      <w:r>
        <w:rPr>
          <w:spacing w:val="-10"/>
        </w:rPr>
        <w:t> </w:t>
      </w:r>
      <w:r>
        <w:rPr/>
        <w:t>as</w:t>
      </w:r>
      <w:r>
        <w:rPr>
          <w:spacing w:val="-8"/>
        </w:rPr>
        <w:t> </w:t>
      </w:r>
      <w:r>
        <w:rPr/>
        <w:t>dominant</w:t>
      </w:r>
      <w:r>
        <w:rPr>
          <w:spacing w:val="-8"/>
        </w:rPr>
        <w:t> </w:t>
      </w:r>
      <w:r>
        <w:rPr/>
        <w:t>landscape</w:t>
      </w:r>
      <w:r>
        <w:rPr>
          <w:spacing w:val="-7"/>
        </w:rPr>
        <w:t> </w:t>
      </w:r>
      <w:r>
        <w:rPr/>
        <w:t>and</w:t>
      </w:r>
      <w:r>
        <w:rPr>
          <w:spacing w:val="-9"/>
        </w:rPr>
        <w:t> </w:t>
      </w:r>
      <w:r>
        <w:rPr/>
        <w:t>development features that provide opportunities for public recreation and facilities interwoven through a land use pattern that is predominantly residential with limited commercial and industrial</w:t>
      </w:r>
      <w:r>
        <w:rPr>
          <w:spacing w:val="-7"/>
        </w:rPr>
        <w:t> </w:t>
      </w:r>
      <w:r>
        <w:rPr/>
        <w:t>uses.</w:t>
      </w:r>
    </w:p>
    <w:p>
      <w:pPr>
        <w:pStyle w:val="BodyText"/>
        <w:spacing w:line="259" w:lineRule="auto" w:before="159"/>
        <w:ind w:right="112" w:firstLine="0"/>
        <w:jc w:val="both"/>
      </w:pPr>
      <w:r>
        <w:rPr/>
        <w:t>The</w:t>
      </w:r>
      <w:r>
        <w:rPr>
          <w:spacing w:val="-7"/>
        </w:rPr>
        <w:t> </w:t>
      </w:r>
      <w:r>
        <w:rPr/>
        <w:t>RPA</w:t>
      </w:r>
      <w:r>
        <w:rPr>
          <w:spacing w:val="-7"/>
        </w:rPr>
        <w:t> </w:t>
      </w:r>
      <w:r>
        <w:rPr/>
        <w:t>comprises</w:t>
      </w:r>
      <w:r>
        <w:rPr>
          <w:spacing w:val="-6"/>
        </w:rPr>
        <w:t> </w:t>
      </w:r>
      <w:r>
        <w:rPr/>
        <w:t>nearly</w:t>
      </w:r>
      <w:r>
        <w:rPr>
          <w:spacing w:val="-11"/>
        </w:rPr>
        <w:t> </w:t>
      </w:r>
      <w:r>
        <w:rPr/>
        <w:t>two</w:t>
      </w:r>
      <w:r>
        <w:rPr>
          <w:spacing w:val="-7"/>
        </w:rPr>
        <w:t> </w:t>
      </w:r>
      <w:r>
        <w:rPr/>
        <w:t>thirds</w:t>
      </w:r>
      <w:r>
        <w:rPr>
          <w:spacing w:val="-7"/>
        </w:rPr>
        <w:t> </w:t>
      </w:r>
      <w:r>
        <w:rPr/>
        <w:t>of</w:t>
      </w:r>
      <w:r>
        <w:rPr>
          <w:spacing w:val="-4"/>
        </w:rPr>
        <w:t> </w:t>
      </w:r>
      <w:r>
        <w:rPr/>
        <w:t>Loudoun’s</w:t>
      </w:r>
      <w:r>
        <w:rPr>
          <w:spacing w:val="-5"/>
        </w:rPr>
        <w:t> </w:t>
      </w:r>
      <w:r>
        <w:rPr/>
        <w:t>land</w:t>
      </w:r>
      <w:r>
        <w:rPr>
          <w:spacing w:val="-7"/>
        </w:rPr>
        <w:t> </w:t>
      </w:r>
      <w:r>
        <w:rPr/>
        <w:t>area</w:t>
      </w:r>
      <w:r>
        <w:rPr>
          <w:spacing w:val="-7"/>
        </w:rPr>
        <w:t> </w:t>
      </w:r>
      <w:r>
        <w:rPr/>
        <w:t>in</w:t>
      </w:r>
      <w:r>
        <w:rPr>
          <w:spacing w:val="-6"/>
        </w:rPr>
        <w:t> </w:t>
      </w:r>
      <w:r>
        <w:rPr/>
        <w:t>the</w:t>
      </w:r>
      <w:r>
        <w:rPr>
          <w:spacing w:val="-7"/>
        </w:rPr>
        <w:t> </w:t>
      </w:r>
      <w:r>
        <w:rPr/>
        <w:t>western</w:t>
      </w:r>
      <w:r>
        <w:rPr>
          <w:spacing w:val="-4"/>
        </w:rPr>
        <w:t> </w:t>
      </w:r>
      <w:r>
        <w:rPr/>
        <w:t>portion</w:t>
      </w:r>
      <w:r>
        <w:rPr>
          <w:spacing w:val="-6"/>
        </w:rPr>
        <w:t> </w:t>
      </w:r>
      <w:r>
        <w:rPr/>
        <w:t>of</w:t>
      </w:r>
      <w:r>
        <w:rPr>
          <w:spacing w:val="-7"/>
        </w:rPr>
        <w:t> </w:t>
      </w:r>
      <w:r>
        <w:rPr/>
        <w:t>the</w:t>
      </w:r>
      <w:r>
        <w:rPr>
          <w:spacing w:val="-7"/>
        </w:rPr>
        <w:t> </w:t>
      </w:r>
      <w:r>
        <w:rPr/>
        <w:t>County and</w:t>
      </w:r>
      <w:r>
        <w:rPr>
          <w:spacing w:val="-6"/>
        </w:rPr>
        <w:t> </w:t>
      </w:r>
      <w:r>
        <w:rPr/>
        <w:t>contains</w:t>
      </w:r>
      <w:r>
        <w:rPr>
          <w:spacing w:val="-6"/>
        </w:rPr>
        <w:t> </w:t>
      </w:r>
      <w:r>
        <w:rPr/>
        <w:t>twelve</w:t>
      </w:r>
      <w:r>
        <w:rPr>
          <w:spacing w:val="-7"/>
        </w:rPr>
        <w:t> </w:t>
      </w:r>
      <w:r>
        <w:rPr/>
        <w:t>historic</w:t>
      </w:r>
      <w:r>
        <w:rPr>
          <w:spacing w:val="-7"/>
        </w:rPr>
        <w:t> </w:t>
      </w:r>
      <w:r>
        <w:rPr/>
        <w:t>Rural</w:t>
      </w:r>
      <w:r>
        <w:rPr>
          <w:spacing w:val="-6"/>
        </w:rPr>
        <w:t> </w:t>
      </w:r>
      <w:r>
        <w:rPr/>
        <w:t>Villages.</w:t>
      </w:r>
      <w:r>
        <w:rPr>
          <w:spacing w:val="-4"/>
        </w:rPr>
        <w:t> </w:t>
      </w:r>
      <w:r>
        <w:rPr/>
        <w:t>This</w:t>
      </w:r>
      <w:r>
        <w:rPr>
          <w:spacing w:val="-6"/>
        </w:rPr>
        <w:t> </w:t>
      </w:r>
      <w:r>
        <w:rPr/>
        <w:t>area</w:t>
      </w:r>
      <w:r>
        <w:rPr>
          <w:spacing w:val="-7"/>
        </w:rPr>
        <w:t> </w:t>
      </w:r>
      <w:r>
        <w:rPr/>
        <w:t>is</w:t>
      </w:r>
      <w:r>
        <w:rPr>
          <w:spacing w:val="-6"/>
        </w:rPr>
        <w:t> </w:t>
      </w:r>
      <w:r>
        <w:rPr/>
        <w:t>planned</w:t>
      </w:r>
      <w:r>
        <w:rPr>
          <w:spacing w:val="-6"/>
        </w:rPr>
        <w:t> </w:t>
      </w:r>
      <w:r>
        <w:rPr/>
        <w:t>as</w:t>
      </w:r>
      <w:r>
        <w:rPr>
          <w:spacing w:val="-4"/>
        </w:rPr>
        <w:t> </w:t>
      </w:r>
      <w:r>
        <w:rPr/>
        <w:t>an</w:t>
      </w:r>
      <w:r>
        <w:rPr>
          <w:spacing w:val="-4"/>
        </w:rPr>
        <w:t> </w:t>
      </w:r>
      <w:r>
        <w:rPr/>
        <w:t>enduring</w:t>
      </w:r>
      <w:r>
        <w:rPr>
          <w:spacing w:val="-7"/>
        </w:rPr>
        <w:t> </w:t>
      </w:r>
      <w:r>
        <w:rPr/>
        <w:t>rural</w:t>
      </w:r>
      <w:r>
        <w:rPr>
          <w:spacing w:val="-6"/>
        </w:rPr>
        <w:t> </w:t>
      </w:r>
      <w:r>
        <w:rPr/>
        <w:t>landscape</w:t>
      </w:r>
      <w:r>
        <w:rPr>
          <w:spacing w:val="-7"/>
        </w:rPr>
        <w:t> </w:t>
      </w:r>
      <w:r>
        <w:rPr/>
        <w:t>of working</w:t>
      </w:r>
      <w:r>
        <w:rPr>
          <w:spacing w:val="-12"/>
        </w:rPr>
        <w:t> </w:t>
      </w:r>
      <w:r>
        <w:rPr/>
        <w:t>agricultural</w:t>
      </w:r>
      <w:r>
        <w:rPr>
          <w:spacing w:val="-9"/>
        </w:rPr>
        <w:t> </w:t>
      </w:r>
      <w:r>
        <w:rPr/>
        <w:t>lands,</w:t>
      </w:r>
      <w:r>
        <w:rPr>
          <w:spacing w:val="-9"/>
        </w:rPr>
        <w:t> </w:t>
      </w:r>
      <w:r>
        <w:rPr/>
        <w:t>rural</w:t>
      </w:r>
      <w:r>
        <w:rPr>
          <w:spacing w:val="-9"/>
        </w:rPr>
        <w:t> </w:t>
      </w:r>
      <w:r>
        <w:rPr/>
        <w:t>economy</w:t>
      </w:r>
      <w:r>
        <w:rPr>
          <w:spacing w:val="-14"/>
        </w:rPr>
        <w:t> </w:t>
      </w:r>
      <w:r>
        <w:rPr/>
        <w:t>uses,</w:t>
      </w:r>
      <w:r>
        <w:rPr>
          <w:spacing w:val="-9"/>
        </w:rPr>
        <w:t> </w:t>
      </w:r>
      <w:r>
        <w:rPr/>
        <w:t>and</w:t>
      </w:r>
      <w:r>
        <w:rPr>
          <w:spacing w:val="-10"/>
        </w:rPr>
        <w:t> </w:t>
      </w:r>
      <w:r>
        <w:rPr/>
        <w:t>limited</w:t>
      </w:r>
      <w:r>
        <w:rPr>
          <w:spacing w:val="-10"/>
        </w:rPr>
        <w:t> </w:t>
      </w:r>
      <w:r>
        <w:rPr/>
        <w:t>residential</w:t>
      </w:r>
      <w:r>
        <w:rPr>
          <w:spacing w:val="-9"/>
        </w:rPr>
        <w:t> </w:t>
      </w:r>
      <w:r>
        <w:rPr/>
        <w:t>development.</w:t>
      </w:r>
      <w:r>
        <w:rPr>
          <w:spacing w:val="-9"/>
        </w:rPr>
        <w:t> </w:t>
      </w:r>
      <w:r>
        <w:rPr/>
        <w:t>Protection</w:t>
      </w:r>
      <w:r>
        <w:rPr>
          <w:spacing w:val="-10"/>
        </w:rPr>
        <w:t> </w:t>
      </w:r>
      <w:r>
        <w:rPr/>
        <w:t>of the RPA helps to ensure the preservation of farmland, natural and heritage resources, open space, and vistas that are vital aspects of Loudoun’s</w:t>
      </w:r>
      <w:r>
        <w:rPr>
          <w:spacing w:val="-2"/>
        </w:rPr>
        <w:t> </w:t>
      </w:r>
      <w:r>
        <w:rPr/>
        <w:t>identity.</w:t>
      </w:r>
    </w:p>
    <w:p>
      <w:pPr>
        <w:pStyle w:val="Heading3"/>
      </w:pPr>
      <w:r>
        <w:rPr/>
        <w:t>Place Types</w:t>
      </w:r>
    </w:p>
    <w:p>
      <w:pPr>
        <w:pStyle w:val="BodyText"/>
        <w:spacing w:line="259" w:lineRule="auto" w:before="25"/>
        <w:ind w:right="119" w:firstLine="0"/>
        <w:jc w:val="both"/>
      </w:pPr>
      <w:r>
        <w:rPr/>
        <w:t>While the four Policy Areas described in this chapter provide the geographic foundation for the County’s growth management and land use strategies, the Plan refines the County's policies to better</w:t>
      </w:r>
      <w:r>
        <w:rPr>
          <w:spacing w:val="-13"/>
        </w:rPr>
        <w:t> </w:t>
      </w:r>
      <w:r>
        <w:rPr/>
        <w:t>adapt</w:t>
      </w:r>
      <w:r>
        <w:rPr>
          <w:spacing w:val="-12"/>
        </w:rPr>
        <w:t> </w:t>
      </w:r>
      <w:r>
        <w:rPr/>
        <w:t>to</w:t>
      </w:r>
      <w:r>
        <w:rPr>
          <w:spacing w:val="-9"/>
        </w:rPr>
        <w:t> </w:t>
      </w:r>
      <w:r>
        <w:rPr/>
        <w:t>rapid</w:t>
      </w:r>
      <w:r>
        <w:rPr>
          <w:spacing w:val="-9"/>
        </w:rPr>
        <w:t> </w:t>
      </w:r>
      <w:r>
        <w:rPr/>
        <w:t>changes</w:t>
      </w:r>
      <w:r>
        <w:rPr>
          <w:spacing w:val="-10"/>
        </w:rPr>
        <w:t> </w:t>
      </w:r>
      <w:r>
        <w:rPr/>
        <w:t>in</w:t>
      </w:r>
      <w:r>
        <w:rPr>
          <w:spacing w:val="-12"/>
        </w:rPr>
        <w:t> </w:t>
      </w:r>
      <w:r>
        <w:rPr/>
        <w:t>technology,</w:t>
      </w:r>
      <w:r>
        <w:rPr>
          <w:spacing w:val="-10"/>
        </w:rPr>
        <w:t> </w:t>
      </w:r>
      <w:r>
        <w:rPr/>
        <w:t>demographics,</w:t>
      </w:r>
      <w:r>
        <w:rPr>
          <w:spacing w:val="-10"/>
        </w:rPr>
        <w:t> </w:t>
      </w:r>
      <w:r>
        <w:rPr/>
        <w:t>and</w:t>
      </w:r>
      <w:r>
        <w:rPr>
          <w:spacing w:val="-12"/>
        </w:rPr>
        <w:t> </w:t>
      </w:r>
      <w:r>
        <w:rPr/>
        <w:t>market</w:t>
      </w:r>
      <w:r>
        <w:rPr>
          <w:spacing w:val="-12"/>
        </w:rPr>
        <w:t> </w:t>
      </w:r>
      <w:r>
        <w:rPr/>
        <w:t>factors</w:t>
      </w:r>
      <w:r>
        <w:rPr>
          <w:spacing w:val="-13"/>
        </w:rPr>
        <w:t> </w:t>
      </w:r>
      <w:r>
        <w:rPr/>
        <w:t>without</w:t>
      </w:r>
      <w:r>
        <w:rPr>
          <w:spacing w:val="-11"/>
        </w:rPr>
        <w:t> </w:t>
      </w:r>
      <w:r>
        <w:rPr/>
        <w:t>losing</w:t>
      </w:r>
      <w:r>
        <w:rPr>
          <w:spacing w:val="-12"/>
        </w:rPr>
        <w:t> </w:t>
      </w:r>
      <w:r>
        <w:rPr/>
        <w:t>sight of the County's vision and goals. Central to this more adaptable, enduring approach to land use is the “Place Type”</w:t>
      </w:r>
      <w:r>
        <w:rPr>
          <w:spacing w:val="-3"/>
        </w:rPr>
        <w:t> </w:t>
      </w:r>
      <w:r>
        <w:rPr/>
        <w:t>concept.</w:t>
      </w:r>
    </w:p>
    <w:p>
      <w:pPr>
        <w:pStyle w:val="BodyText"/>
        <w:spacing w:line="259" w:lineRule="auto" w:before="162"/>
        <w:ind w:right="115" w:firstLine="0"/>
        <w:jc w:val="both"/>
      </w:pPr>
      <w:r>
        <w:rPr>
          <w:w w:val="105"/>
        </w:rPr>
        <w:t>The</w:t>
      </w:r>
      <w:r>
        <w:rPr>
          <w:spacing w:val="-38"/>
          <w:w w:val="105"/>
        </w:rPr>
        <w:t> </w:t>
      </w:r>
      <w:r>
        <w:rPr>
          <w:w w:val="105"/>
        </w:rPr>
        <w:t>Place</w:t>
      </w:r>
      <w:r>
        <w:rPr>
          <w:spacing w:val="-38"/>
          <w:w w:val="105"/>
        </w:rPr>
        <w:t> </w:t>
      </w:r>
      <w:r>
        <w:rPr>
          <w:w w:val="105"/>
        </w:rPr>
        <w:t>Type</w:t>
      </w:r>
      <w:r>
        <w:rPr>
          <w:spacing w:val="-38"/>
          <w:w w:val="105"/>
        </w:rPr>
        <w:t> </w:t>
      </w:r>
      <w:r>
        <w:rPr>
          <w:w w:val="105"/>
        </w:rPr>
        <w:t>approach</w:t>
      </w:r>
      <w:r>
        <w:rPr>
          <w:spacing w:val="-37"/>
          <w:w w:val="105"/>
        </w:rPr>
        <w:t> </w:t>
      </w:r>
      <w:r>
        <w:rPr>
          <w:w w:val="105"/>
        </w:rPr>
        <w:t>differs</w:t>
      </w:r>
      <w:r>
        <w:rPr>
          <w:spacing w:val="-38"/>
          <w:w w:val="105"/>
        </w:rPr>
        <w:t> </w:t>
      </w:r>
      <w:r>
        <w:rPr>
          <w:w w:val="105"/>
        </w:rPr>
        <w:t>from</w:t>
      </w:r>
      <w:r>
        <w:rPr>
          <w:spacing w:val="-37"/>
          <w:w w:val="105"/>
        </w:rPr>
        <w:t> </w:t>
      </w:r>
      <w:r>
        <w:rPr>
          <w:w w:val="105"/>
        </w:rPr>
        <w:t>the</w:t>
      </w:r>
      <w:r>
        <w:rPr>
          <w:spacing w:val="-38"/>
          <w:w w:val="105"/>
        </w:rPr>
        <w:t> </w:t>
      </w:r>
      <w:r>
        <w:rPr>
          <w:w w:val="105"/>
        </w:rPr>
        <w:t>County’s</w:t>
      </w:r>
      <w:r>
        <w:rPr>
          <w:spacing w:val="-38"/>
          <w:w w:val="105"/>
        </w:rPr>
        <w:t> </w:t>
      </w:r>
      <w:r>
        <w:rPr>
          <w:w w:val="105"/>
        </w:rPr>
        <w:t>previous</w:t>
      </w:r>
      <w:r>
        <w:rPr>
          <w:spacing w:val="-38"/>
          <w:w w:val="105"/>
        </w:rPr>
        <w:t> </w:t>
      </w:r>
      <w:r>
        <w:rPr>
          <w:w w:val="105"/>
        </w:rPr>
        <w:t>approach</w:t>
      </w:r>
      <w:r>
        <w:rPr>
          <w:spacing w:val="-38"/>
          <w:w w:val="105"/>
        </w:rPr>
        <w:t> </w:t>
      </w:r>
      <w:r>
        <w:rPr>
          <w:w w:val="105"/>
        </w:rPr>
        <w:t>to</w:t>
      </w:r>
      <w:r>
        <w:rPr>
          <w:spacing w:val="-38"/>
          <w:w w:val="105"/>
        </w:rPr>
        <w:t> </w:t>
      </w:r>
      <w:r>
        <w:rPr>
          <w:w w:val="105"/>
        </w:rPr>
        <w:t>land</w:t>
      </w:r>
      <w:r>
        <w:rPr>
          <w:spacing w:val="-38"/>
          <w:w w:val="105"/>
        </w:rPr>
        <w:t> </w:t>
      </w:r>
      <w:r>
        <w:rPr>
          <w:w w:val="105"/>
        </w:rPr>
        <w:t>use</w:t>
      </w:r>
      <w:r>
        <w:rPr>
          <w:spacing w:val="-38"/>
          <w:w w:val="105"/>
        </w:rPr>
        <w:t> </w:t>
      </w:r>
      <w:r>
        <w:rPr>
          <w:w w:val="105"/>
        </w:rPr>
        <w:t>planning</w:t>
      </w:r>
      <w:r>
        <w:rPr>
          <w:spacing w:val="-38"/>
          <w:w w:val="105"/>
        </w:rPr>
        <w:t> </w:t>
      </w:r>
      <w:r>
        <w:rPr>
          <w:w w:val="105"/>
        </w:rPr>
        <w:t>in</w:t>
      </w:r>
      <w:r>
        <w:rPr>
          <w:spacing w:val="-38"/>
          <w:w w:val="105"/>
        </w:rPr>
        <w:t> </w:t>
      </w:r>
      <w:r>
        <w:rPr>
          <w:w w:val="105"/>
        </w:rPr>
        <w:t>that it</w:t>
      </w:r>
      <w:r>
        <w:rPr>
          <w:spacing w:val="-19"/>
          <w:w w:val="105"/>
        </w:rPr>
        <w:t> </w:t>
      </w:r>
      <w:r>
        <w:rPr>
          <w:w w:val="105"/>
        </w:rPr>
        <w:t>provides</w:t>
      </w:r>
      <w:r>
        <w:rPr>
          <w:spacing w:val="-19"/>
          <w:w w:val="105"/>
        </w:rPr>
        <w:t> </w:t>
      </w:r>
      <w:r>
        <w:rPr>
          <w:w w:val="105"/>
        </w:rPr>
        <w:t>a</w:t>
      </w:r>
      <w:r>
        <w:rPr>
          <w:spacing w:val="-18"/>
          <w:w w:val="105"/>
        </w:rPr>
        <w:t> </w:t>
      </w:r>
      <w:r>
        <w:rPr>
          <w:w w:val="105"/>
        </w:rPr>
        <w:t>way</w:t>
      </w:r>
      <w:r>
        <w:rPr>
          <w:spacing w:val="-23"/>
          <w:w w:val="105"/>
        </w:rPr>
        <w:t> </w:t>
      </w:r>
      <w:r>
        <w:rPr>
          <w:w w:val="105"/>
        </w:rPr>
        <w:t>to</w:t>
      </w:r>
      <w:r>
        <w:rPr>
          <w:spacing w:val="-18"/>
          <w:w w:val="105"/>
        </w:rPr>
        <w:t> </w:t>
      </w:r>
      <w:r>
        <w:rPr>
          <w:w w:val="105"/>
        </w:rPr>
        <w:t>shape</w:t>
      </w:r>
      <w:r>
        <w:rPr>
          <w:spacing w:val="-20"/>
          <w:w w:val="105"/>
        </w:rPr>
        <w:t> </w:t>
      </w:r>
      <w:r>
        <w:rPr>
          <w:w w:val="105"/>
        </w:rPr>
        <w:t>the</w:t>
      </w:r>
      <w:r>
        <w:rPr>
          <w:spacing w:val="-18"/>
          <w:w w:val="105"/>
        </w:rPr>
        <w:t> </w:t>
      </w:r>
      <w:r>
        <w:rPr>
          <w:w w:val="105"/>
        </w:rPr>
        <w:t>future</w:t>
      </w:r>
      <w:r>
        <w:rPr>
          <w:spacing w:val="-20"/>
          <w:w w:val="105"/>
        </w:rPr>
        <w:t> </w:t>
      </w:r>
      <w:r>
        <w:rPr>
          <w:w w:val="105"/>
        </w:rPr>
        <w:t>of</w:t>
      </w:r>
      <w:r>
        <w:rPr>
          <w:spacing w:val="-18"/>
          <w:w w:val="105"/>
        </w:rPr>
        <w:t> </w:t>
      </w:r>
      <w:r>
        <w:rPr>
          <w:w w:val="105"/>
        </w:rPr>
        <w:t>Loudoun</w:t>
      </w:r>
      <w:r>
        <w:rPr>
          <w:spacing w:val="-16"/>
          <w:w w:val="105"/>
        </w:rPr>
        <w:t> </w:t>
      </w:r>
      <w:r>
        <w:rPr>
          <w:w w:val="105"/>
        </w:rPr>
        <w:t>by</w:t>
      </w:r>
      <w:r>
        <w:rPr>
          <w:spacing w:val="-21"/>
          <w:w w:val="105"/>
        </w:rPr>
        <w:t> </w:t>
      </w:r>
      <w:r>
        <w:rPr>
          <w:w w:val="105"/>
        </w:rPr>
        <w:t>concentrating</w:t>
      </w:r>
      <w:r>
        <w:rPr>
          <w:spacing w:val="-21"/>
          <w:w w:val="105"/>
        </w:rPr>
        <w:t> </w:t>
      </w:r>
      <w:r>
        <w:rPr>
          <w:w w:val="105"/>
        </w:rPr>
        <w:t>on</w:t>
      </w:r>
      <w:r>
        <w:rPr>
          <w:spacing w:val="-18"/>
          <w:w w:val="105"/>
        </w:rPr>
        <w:t> </w:t>
      </w:r>
      <w:r>
        <w:rPr>
          <w:w w:val="105"/>
        </w:rPr>
        <w:t>context</w:t>
      </w:r>
      <w:r>
        <w:rPr>
          <w:spacing w:val="-14"/>
          <w:w w:val="105"/>
        </w:rPr>
        <w:t> </w:t>
      </w:r>
      <w:r>
        <w:rPr>
          <w:rFonts w:ascii="Trebuchet MS" w:hAnsi="Trebuchet MS"/>
          <w:w w:val="105"/>
        </w:rPr>
        <w:t>–</w:t>
      </w:r>
      <w:r>
        <w:rPr>
          <w:rFonts w:ascii="Trebuchet MS" w:hAnsi="Trebuchet MS"/>
          <w:spacing w:val="-26"/>
          <w:w w:val="105"/>
        </w:rPr>
        <w:t> </w:t>
      </w:r>
      <w:r>
        <w:rPr>
          <w:w w:val="105"/>
        </w:rPr>
        <w:t>the</w:t>
      </w:r>
      <w:r>
        <w:rPr>
          <w:spacing w:val="-20"/>
          <w:w w:val="105"/>
        </w:rPr>
        <w:t> </w:t>
      </w:r>
      <w:r>
        <w:rPr>
          <w:w w:val="105"/>
        </w:rPr>
        <w:t>look</w:t>
      </w:r>
      <w:r>
        <w:rPr>
          <w:spacing w:val="-19"/>
          <w:w w:val="105"/>
        </w:rPr>
        <w:t> </w:t>
      </w:r>
      <w:r>
        <w:rPr>
          <w:w w:val="105"/>
        </w:rPr>
        <w:t>and</w:t>
      </w:r>
      <w:r>
        <w:rPr>
          <w:spacing w:val="-20"/>
          <w:w w:val="105"/>
        </w:rPr>
        <w:t> </w:t>
      </w:r>
      <w:r>
        <w:rPr>
          <w:w w:val="105"/>
        </w:rPr>
        <w:t>feel of places, their form and their character </w:t>
      </w:r>
      <w:r>
        <w:rPr>
          <w:rFonts w:ascii="Trebuchet MS" w:hAnsi="Trebuchet MS"/>
          <w:w w:val="105"/>
        </w:rPr>
        <w:t>– </w:t>
      </w:r>
      <w:r>
        <w:rPr>
          <w:w w:val="105"/>
        </w:rPr>
        <w:t>instead of focusing only on conventional land use categories</w:t>
      </w:r>
      <w:r>
        <w:rPr>
          <w:spacing w:val="-18"/>
          <w:w w:val="105"/>
        </w:rPr>
        <w:t> </w:t>
      </w:r>
      <w:r>
        <w:rPr>
          <w:w w:val="105"/>
        </w:rPr>
        <w:t>and</w:t>
      </w:r>
      <w:r>
        <w:rPr>
          <w:spacing w:val="-20"/>
          <w:w w:val="105"/>
        </w:rPr>
        <w:t> </w:t>
      </w:r>
      <w:r>
        <w:rPr>
          <w:w w:val="105"/>
        </w:rPr>
        <w:t>specific</w:t>
      </w:r>
      <w:r>
        <w:rPr>
          <w:spacing w:val="-20"/>
          <w:w w:val="105"/>
        </w:rPr>
        <w:t> </w:t>
      </w:r>
      <w:r>
        <w:rPr>
          <w:w w:val="105"/>
        </w:rPr>
        <w:t>uses.</w:t>
      </w:r>
      <w:r>
        <w:rPr>
          <w:spacing w:val="-20"/>
          <w:w w:val="105"/>
        </w:rPr>
        <w:t> </w:t>
      </w:r>
      <w:r>
        <w:rPr>
          <w:w w:val="105"/>
        </w:rPr>
        <w:t>Place</w:t>
      </w:r>
      <w:r>
        <w:rPr>
          <w:spacing w:val="-20"/>
          <w:w w:val="105"/>
        </w:rPr>
        <w:t> </w:t>
      </w:r>
      <w:r>
        <w:rPr>
          <w:w w:val="105"/>
        </w:rPr>
        <w:t>Type</w:t>
      </w:r>
      <w:r>
        <w:rPr>
          <w:spacing w:val="-20"/>
          <w:w w:val="105"/>
        </w:rPr>
        <w:t> </w:t>
      </w:r>
      <w:r>
        <w:rPr>
          <w:w w:val="105"/>
        </w:rPr>
        <w:t>categories</w:t>
      </w:r>
      <w:r>
        <w:rPr>
          <w:spacing w:val="-20"/>
          <w:w w:val="105"/>
        </w:rPr>
        <w:t> </w:t>
      </w:r>
      <w:r>
        <w:rPr>
          <w:w w:val="105"/>
        </w:rPr>
        <w:t>define</w:t>
      </w:r>
      <w:r>
        <w:rPr>
          <w:spacing w:val="-21"/>
          <w:w w:val="105"/>
        </w:rPr>
        <w:t> </w:t>
      </w:r>
      <w:r>
        <w:rPr>
          <w:w w:val="105"/>
        </w:rPr>
        <w:t>not</w:t>
      </w:r>
      <w:r>
        <w:rPr>
          <w:spacing w:val="-20"/>
          <w:w w:val="105"/>
        </w:rPr>
        <w:t> </w:t>
      </w:r>
      <w:r>
        <w:rPr>
          <w:w w:val="105"/>
        </w:rPr>
        <w:t>only</w:t>
      </w:r>
      <w:r>
        <w:rPr>
          <w:spacing w:val="-23"/>
          <w:w w:val="105"/>
        </w:rPr>
        <w:t> </w:t>
      </w:r>
      <w:r>
        <w:rPr>
          <w:w w:val="105"/>
        </w:rPr>
        <w:t>the</w:t>
      </w:r>
      <w:r>
        <w:rPr>
          <w:spacing w:val="-20"/>
          <w:w w:val="105"/>
        </w:rPr>
        <w:t> </w:t>
      </w:r>
      <w:r>
        <w:rPr>
          <w:w w:val="105"/>
        </w:rPr>
        <w:t>basic</w:t>
      </w:r>
      <w:r>
        <w:rPr>
          <w:spacing w:val="-16"/>
          <w:w w:val="105"/>
        </w:rPr>
        <w:t> </w:t>
      </w:r>
      <w:r>
        <w:rPr>
          <w:w w:val="105"/>
        </w:rPr>
        <w:t>expected</w:t>
      </w:r>
      <w:r>
        <w:rPr>
          <w:spacing w:val="-20"/>
          <w:w w:val="105"/>
        </w:rPr>
        <w:t> </w:t>
      </w:r>
      <w:r>
        <w:rPr>
          <w:w w:val="105"/>
        </w:rPr>
        <w:t>land</w:t>
      </w:r>
      <w:r>
        <w:rPr>
          <w:spacing w:val="-20"/>
          <w:w w:val="105"/>
        </w:rPr>
        <w:t> </w:t>
      </w:r>
      <w:r>
        <w:rPr>
          <w:w w:val="105"/>
        </w:rPr>
        <w:t>uses for</w:t>
      </w:r>
      <w:r>
        <w:rPr>
          <w:spacing w:val="-37"/>
          <w:w w:val="105"/>
        </w:rPr>
        <w:t> </w:t>
      </w:r>
      <w:r>
        <w:rPr>
          <w:w w:val="105"/>
        </w:rPr>
        <w:t>specific</w:t>
      </w:r>
      <w:r>
        <w:rPr>
          <w:spacing w:val="-37"/>
          <w:w w:val="105"/>
        </w:rPr>
        <w:t> </w:t>
      </w:r>
      <w:r>
        <w:rPr>
          <w:w w:val="105"/>
        </w:rPr>
        <w:t>areas</w:t>
      </w:r>
      <w:r>
        <w:rPr>
          <w:spacing w:val="-36"/>
          <w:w w:val="105"/>
        </w:rPr>
        <w:t> </w:t>
      </w:r>
      <w:r>
        <w:rPr>
          <w:w w:val="105"/>
        </w:rPr>
        <w:t>in</w:t>
      </w:r>
      <w:r>
        <w:rPr>
          <w:spacing w:val="-36"/>
          <w:w w:val="105"/>
        </w:rPr>
        <w:t> </w:t>
      </w:r>
      <w:r>
        <w:rPr>
          <w:w w:val="105"/>
        </w:rPr>
        <w:t>the</w:t>
      </w:r>
      <w:r>
        <w:rPr>
          <w:spacing w:val="-36"/>
          <w:w w:val="105"/>
        </w:rPr>
        <w:t> </w:t>
      </w:r>
      <w:r>
        <w:rPr>
          <w:w w:val="105"/>
        </w:rPr>
        <w:t>County,</w:t>
      </w:r>
      <w:r>
        <w:rPr>
          <w:spacing w:val="-36"/>
          <w:w w:val="105"/>
        </w:rPr>
        <w:t> </w:t>
      </w:r>
      <w:r>
        <w:rPr>
          <w:w w:val="105"/>
        </w:rPr>
        <w:t>but</w:t>
      </w:r>
      <w:r>
        <w:rPr>
          <w:spacing w:val="-36"/>
          <w:w w:val="105"/>
        </w:rPr>
        <w:t> </w:t>
      </w:r>
      <w:r>
        <w:rPr>
          <w:w w:val="105"/>
        </w:rPr>
        <w:t>also</w:t>
      </w:r>
      <w:r>
        <w:rPr>
          <w:spacing w:val="-36"/>
          <w:w w:val="105"/>
        </w:rPr>
        <w:t> </w:t>
      </w:r>
      <w:r>
        <w:rPr>
          <w:w w:val="105"/>
        </w:rPr>
        <w:t>preferred</w:t>
      </w:r>
      <w:r>
        <w:rPr>
          <w:spacing w:val="-36"/>
          <w:w w:val="105"/>
        </w:rPr>
        <w:t> </w:t>
      </w:r>
      <w:r>
        <w:rPr>
          <w:w w:val="105"/>
        </w:rPr>
        <w:t>development</w:t>
      </w:r>
      <w:r>
        <w:rPr>
          <w:spacing w:val="-36"/>
          <w:w w:val="105"/>
        </w:rPr>
        <w:t> </w:t>
      </w:r>
      <w:r>
        <w:rPr>
          <w:w w:val="105"/>
        </w:rPr>
        <w:t>patterns,</w:t>
      </w:r>
      <w:r>
        <w:rPr>
          <w:spacing w:val="-36"/>
          <w:w w:val="105"/>
        </w:rPr>
        <w:t> </w:t>
      </w:r>
      <w:r>
        <w:rPr>
          <w:w w:val="105"/>
        </w:rPr>
        <w:t>streetscapes,</w:t>
      </w:r>
      <w:r>
        <w:rPr>
          <w:spacing w:val="-36"/>
          <w:w w:val="105"/>
        </w:rPr>
        <w:t> </w:t>
      </w:r>
      <w:r>
        <w:rPr>
          <w:w w:val="105"/>
        </w:rPr>
        <w:t>and</w:t>
      </w:r>
      <w:r>
        <w:rPr>
          <w:spacing w:val="-36"/>
          <w:w w:val="105"/>
        </w:rPr>
        <w:t> </w:t>
      </w:r>
      <w:r>
        <w:rPr>
          <w:w w:val="105"/>
        </w:rPr>
        <w:t>design features</w:t>
      </w:r>
      <w:r>
        <w:rPr>
          <w:spacing w:val="-21"/>
          <w:w w:val="105"/>
        </w:rPr>
        <w:t> </w:t>
      </w:r>
      <w:r>
        <w:rPr>
          <w:w w:val="105"/>
        </w:rPr>
        <w:t>that</w:t>
      </w:r>
      <w:r>
        <w:rPr>
          <w:spacing w:val="-21"/>
          <w:w w:val="105"/>
        </w:rPr>
        <w:t> </w:t>
      </w:r>
      <w:r>
        <w:rPr>
          <w:w w:val="105"/>
        </w:rPr>
        <w:t>make</w:t>
      </w:r>
      <w:r>
        <w:rPr>
          <w:spacing w:val="-22"/>
          <w:w w:val="105"/>
        </w:rPr>
        <w:t> </w:t>
      </w:r>
      <w:r>
        <w:rPr>
          <w:w w:val="105"/>
        </w:rPr>
        <w:t>places</w:t>
      </w:r>
      <w:r>
        <w:rPr>
          <w:spacing w:val="-19"/>
          <w:w w:val="105"/>
        </w:rPr>
        <w:t> </w:t>
      </w:r>
      <w:r>
        <w:rPr>
          <w:w w:val="105"/>
        </w:rPr>
        <w:t>and</w:t>
      </w:r>
      <w:r>
        <w:rPr>
          <w:spacing w:val="-21"/>
          <w:w w:val="105"/>
        </w:rPr>
        <w:t> </w:t>
      </w:r>
      <w:r>
        <w:rPr>
          <w:w w:val="105"/>
        </w:rPr>
        <w:t>environments</w:t>
      </w:r>
      <w:r>
        <w:rPr>
          <w:spacing w:val="-21"/>
          <w:w w:val="105"/>
        </w:rPr>
        <w:t> </w:t>
      </w:r>
      <w:r>
        <w:rPr>
          <w:w w:val="105"/>
        </w:rPr>
        <w:t>visually</w:t>
      </w:r>
      <w:r>
        <w:rPr>
          <w:spacing w:val="-24"/>
          <w:w w:val="105"/>
        </w:rPr>
        <w:t> </w:t>
      </w:r>
      <w:r>
        <w:rPr>
          <w:w w:val="105"/>
        </w:rPr>
        <w:t>interesting</w:t>
      </w:r>
      <w:r>
        <w:rPr>
          <w:spacing w:val="-23"/>
          <w:w w:val="105"/>
        </w:rPr>
        <w:t> </w:t>
      </w:r>
      <w:r>
        <w:rPr>
          <w:w w:val="105"/>
        </w:rPr>
        <w:t>and</w:t>
      </w:r>
      <w:r>
        <w:rPr>
          <w:spacing w:val="-19"/>
          <w:w w:val="105"/>
        </w:rPr>
        <w:t> </w:t>
      </w:r>
      <w:r>
        <w:rPr>
          <w:w w:val="105"/>
        </w:rPr>
        <w:t>functional</w:t>
      </w:r>
      <w:r>
        <w:rPr>
          <w:spacing w:val="-21"/>
          <w:w w:val="105"/>
        </w:rPr>
        <w:t> </w:t>
      </w:r>
      <w:r>
        <w:rPr>
          <w:w w:val="105"/>
        </w:rPr>
        <w:t>for</w:t>
      </w:r>
      <w:r>
        <w:rPr>
          <w:spacing w:val="-22"/>
          <w:w w:val="105"/>
        </w:rPr>
        <w:t> </w:t>
      </w:r>
      <w:r>
        <w:rPr>
          <w:w w:val="105"/>
        </w:rPr>
        <w:t>people.</w:t>
      </w:r>
    </w:p>
    <w:p>
      <w:pPr>
        <w:pStyle w:val="BodyText"/>
        <w:spacing w:line="259" w:lineRule="auto" w:before="159"/>
        <w:ind w:right="118" w:firstLine="0"/>
        <w:jc w:val="both"/>
      </w:pPr>
      <w:r>
        <w:rPr/>
        <w:t>The Place Type approach is intended to create distinct and “complete” residential</w:t>
      </w:r>
      <w:r>
        <w:rPr>
          <w:spacing w:val="-21"/>
        </w:rPr>
        <w:t> </w:t>
      </w:r>
      <w:r>
        <w:rPr/>
        <w:t>neighborhoods, employment</w:t>
      </w:r>
      <w:r>
        <w:rPr>
          <w:spacing w:val="-9"/>
        </w:rPr>
        <w:t> </w:t>
      </w:r>
      <w:r>
        <w:rPr/>
        <w:t>centers,</w:t>
      </w:r>
      <w:r>
        <w:rPr>
          <w:spacing w:val="-9"/>
        </w:rPr>
        <w:t> </w:t>
      </w:r>
      <w:r>
        <w:rPr/>
        <w:t>open</w:t>
      </w:r>
      <w:r>
        <w:rPr>
          <w:spacing w:val="-9"/>
        </w:rPr>
        <w:t> </w:t>
      </w:r>
      <w:r>
        <w:rPr/>
        <w:t>spaces,</w:t>
      </w:r>
      <w:r>
        <w:rPr>
          <w:spacing w:val="-8"/>
        </w:rPr>
        <w:t> </w:t>
      </w:r>
      <w:r>
        <w:rPr/>
        <w:t>and</w:t>
      </w:r>
      <w:r>
        <w:rPr>
          <w:spacing w:val="-9"/>
        </w:rPr>
        <w:t> </w:t>
      </w:r>
      <w:r>
        <w:rPr/>
        <w:t>other</w:t>
      </w:r>
      <w:r>
        <w:rPr>
          <w:spacing w:val="-10"/>
        </w:rPr>
        <w:t> </w:t>
      </w:r>
      <w:r>
        <w:rPr/>
        <w:t>areas.</w:t>
      </w:r>
      <w:r>
        <w:rPr>
          <w:spacing w:val="-7"/>
        </w:rPr>
        <w:t> </w:t>
      </w:r>
      <w:r>
        <w:rPr/>
        <w:t>By</w:t>
      </w:r>
      <w:r>
        <w:rPr>
          <w:spacing w:val="-13"/>
        </w:rPr>
        <w:t> </w:t>
      </w:r>
      <w:r>
        <w:rPr/>
        <w:t>providing</w:t>
      </w:r>
      <w:r>
        <w:rPr>
          <w:spacing w:val="-9"/>
        </w:rPr>
        <w:t> </w:t>
      </w:r>
      <w:r>
        <w:rPr/>
        <w:t>greater</w:t>
      </w:r>
      <w:r>
        <w:rPr>
          <w:spacing w:val="-10"/>
        </w:rPr>
        <w:t> </w:t>
      </w:r>
      <w:r>
        <w:rPr/>
        <w:t>flexibility</w:t>
      </w:r>
      <w:r>
        <w:rPr>
          <w:spacing w:val="-16"/>
        </w:rPr>
        <w:t> </w:t>
      </w:r>
      <w:r>
        <w:rPr/>
        <w:t>in</w:t>
      </w:r>
      <w:r>
        <w:rPr>
          <w:spacing w:val="-8"/>
        </w:rPr>
        <w:t> </w:t>
      </w:r>
      <w:r>
        <w:rPr/>
        <w:t>development</w:t>
      </w:r>
    </w:p>
    <w:p>
      <w:pPr>
        <w:spacing w:after="0" w:line="259" w:lineRule="auto"/>
        <w:jc w:val="both"/>
        <w:sectPr>
          <w:pgSz w:w="12240" w:h="15840"/>
          <w:pgMar w:header="719" w:footer="540" w:top="1300" w:bottom="740" w:left="1340" w:right="1320"/>
        </w:sectPr>
      </w:pPr>
    </w:p>
    <w:p>
      <w:pPr>
        <w:pStyle w:val="BodyText"/>
        <w:spacing w:line="259" w:lineRule="auto" w:before="117"/>
        <w:ind w:right="114" w:firstLine="0"/>
        <w:jc w:val="both"/>
      </w:pPr>
      <w:r>
        <w:rPr/>
        <w:t>types</w:t>
      </w:r>
      <w:r>
        <w:rPr>
          <w:spacing w:val="-7"/>
        </w:rPr>
        <w:t> </w:t>
      </w:r>
      <w:r>
        <w:rPr/>
        <w:t>and</w:t>
      </w:r>
      <w:r>
        <w:rPr>
          <w:spacing w:val="-10"/>
        </w:rPr>
        <w:t> </w:t>
      </w:r>
      <w:r>
        <w:rPr/>
        <w:t>uses,</w:t>
      </w:r>
      <w:r>
        <w:rPr>
          <w:spacing w:val="-7"/>
        </w:rPr>
        <w:t> </w:t>
      </w:r>
      <w:r>
        <w:rPr/>
        <w:t>Place</w:t>
      </w:r>
      <w:r>
        <w:rPr>
          <w:spacing w:val="-8"/>
        </w:rPr>
        <w:t> </w:t>
      </w:r>
      <w:r>
        <w:rPr/>
        <w:t>Types</w:t>
      </w:r>
      <w:r>
        <w:rPr>
          <w:spacing w:val="-9"/>
        </w:rPr>
        <w:t> </w:t>
      </w:r>
      <w:r>
        <w:rPr/>
        <w:t>can</w:t>
      </w:r>
      <w:r>
        <w:rPr>
          <w:spacing w:val="-8"/>
        </w:rPr>
        <w:t> </w:t>
      </w:r>
      <w:r>
        <w:rPr/>
        <w:t>also</w:t>
      </w:r>
      <w:r>
        <w:rPr>
          <w:spacing w:val="-7"/>
        </w:rPr>
        <w:t> </w:t>
      </w:r>
      <w:r>
        <w:rPr/>
        <w:t>facilitate</w:t>
      </w:r>
      <w:r>
        <w:rPr>
          <w:spacing w:val="-9"/>
        </w:rPr>
        <w:t> </w:t>
      </w:r>
      <w:r>
        <w:rPr/>
        <w:t>more</w:t>
      </w:r>
      <w:r>
        <w:rPr>
          <w:spacing w:val="-11"/>
        </w:rPr>
        <w:t> </w:t>
      </w:r>
      <w:r>
        <w:rPr/>
        <w:t>dynamic,</w:t>
      </w:r>
      <w:r>
        <w:rPr>
          <w:spacing w:val="-10"/>
        </w:rPr>
        <w:t> </w:t>
      </w:r>
      <w:r>
        <w:rPr/>
        <w:t>livable</w:t>
      </w:r>
      <w:r>
        <w:rPr>
          <w:spacing w:val="-11"/>
        </w:rPr>
        <w:t> </w:t>
      </w:r>
      <w:r>
        <w:rPr/>
        <w:t>neighborhoods</w:t>
      </w:r>
      <w:r>
        <w:rPr>
          <w:spacing w:val="-7"/>
        </w:rPr>
        <w:t> </w:t>
      </w:r>
      <w:r>
        <w:rPr/>
        <w:t>and</w:t>
      </w:r>
      <w:r>
        <w:rPr>
          <w:spacing w:val="-7"/>
        </w:rPr>
        <w:t> </w:t>
      </w:r>
      <w:r>
        <w:rPr/>
        <w:t>allow</w:t>
      </w:r>
      <w:r>
        <w:rPr>
          <w:spacing w:val="-10"/>
        </w:rPr>
        <w:t> </w:t>
      </w:r>
      <w:r>
        <w:rPr/>
        <w:t>for established areas to evolve and improve. Through the use of Place Types in the </w:t>
      </w:r>
      <w:r>
        <w:rPr>
          <w:i/>
        </w:rPr>
        <w:t>Loudoun 2040 </w:t>
      </w:r>
      <w:r>
        <w:rPr>
          <w:i/>
        </w:rPr>
        <w:t>General Plan</w:t>
      </w:r>
      <w:r>
        <w:rPr/>
        <w:t>, the County aims to achieve Loudoun’s vision for a prosperous and inclusive community consisting of great places in a variety of</w:t>
      </w:r>
      <w:r>
        <w:rPr>
          <w:spacing w:val="-11"/>
        </w:rPr>
        <w:t> </w:t>
      </w:r>
      <w:r>
        <w:rPr/>
        <w:t>settings.</w:t>
      </w:r>
    </w:p>
    <w:p>
      <w:pPr>
        <w:pStyle w:val="Heading4"/>
      </w:pPr>
      <w:r>
        <w:rPr>
          <w:color w:val="396230"/>
          <w:w w:val="105"/>
        </w:rPr>
        <w:t>What Makes a Place?</w:t>
      </w:r>
    </w:p>
    <w:p>
      <w:pPr>
        <w:pStyle w:val="BodyText"/>
        <w:spacing w:line="256" w:lineRule="auto" w:before="53"/>
        <w:ind w:right="115" w:firstLine="0"/>
        <w:jc w:val="both"/>
      </w:pPr>
      <w:r>
        <w:rPr/>
        <w:pict>
          <v:shape style="position:absolute;margin-left:90.066002pt;margin-top:32.343079pt;width:395.3pt;height:419pt;mso-position-horizontal-relative:page;mso-position-vertical-relative:paragraph;z-index:-10648" coordorigin="1801,647" coordsize="7906,8380" path="m4498,7911l4492,7837,4477,7759,4455,7676,4432,7607,4402,7535,4367,7460,4325,7382,4276,7301,4236,7242,4200,7192,4200,7877,4197,7934,4185,7990,4167,8048,4138,8108,4097,8170,4044,8236,3979,8306,3674,8611,2216,7153,2517,6853,2598,6777,2672,6717,2740,6673,2801,6647,2868,6632,2941,6628,3020,6635,3105,6653,3195,6682,3255,6708,3317,6740,3380,6778,3446,6823,3514,6875,3584,6933,3656,6998,3729,7069,3789,7131,3844,7191,3896,7250,3943,7308,3986,7364,4024,7420,4059,7473,4101,7548,4136,7620,4163,7690,4183,7757,4196,7821,4200,7877,4200,7192,4194,7183,4148,7123,4098,7062,4045,7001,3989,6940,3929,6878,3865,6816,3801,6757,3737,6702,3673,6651,3643,6628,3609,6603,3546,6558,3482,6517,3419,6479,3346,6442,3274,6409,3203,6382,3132,6360,3062,6343,2992,6331,2923,6324,2850,6322,2779,6329,2709,6344,2642,6367,2577,6397,2528,6425,2476,6462,2420,6508,2359,6562,2294,6625,1801,7118,3710,9026,4124,8611,4226,8509,4287,8444,4341,8379,4386,8313,4424,8246,4454,8180,4476,8114,4491,8047,4498,7979,4498,7911m6418,6317l6056,6190,5650,6047,5561,6018,5475,5994,5393,5975,5364,5969,5314,5960,5239,5950,5193,5949,5143,5952,5089,5959,5030,5969,5074,5900,5109,5830,5136,5761,5154,5692,5164,5624,5165,5556,5157,5488,5139,5410,5111,5334,5075,5259,5030,5186,4976,5116,4956,5093,4913,5047,4872,5009,4872,5566,4868,5622,4854,5677,4830,5733,4794,5792,4747,5853,4687,5916,4413,6190,4280,6323,3649,5692,4102,5239,4166,5182,4229,5139,4293,5109,4358,5094,4422,5093,4501,5108,4577,5138,4649,5183,4718,5242,4761,5290,4797,5341,4827,5394,4851,5451,4867,5509,4872,5566,4872,5009,4849,4987,4782,4935,4713,4890,4641,4851,4566,4819,4474,4791,4386,4778,4303,4780,4225,4796,4163,4821,4098,4857,4030,4905,3958,4965,3883,5036,3248,5671,5157,7579,5346,7389,4499,6542,4718,6323,4753,6289,4783,6261,4810,6240,4833,6226,4863,6212,4896,6202,4932,6194,4971,6190,5014,6190,5066,6195,5125,6205,5194,6222,5256,6239,5328,6260,5407,6285,5496,6314,6180,6555,6418,6317m7780,4955l7415,4760,6555,4306,6555,4613,6070,5098,5989,4955,5748,4524,5708,4453,5668,4381,5629,4316,5590,4251,5550,4187,5509,4124,5467,4062,5424,4000,5380,3940,5436,3975,5498,4013,5564,4053,5635,4095,5792,4186,6555,4613,6555,4306,5862,3940,5286,3633,5082,3837,5277,4187,5316,4258,5701,4955,6168,5804,6441,6295,6642,6094,6565,5960,6298,5492,6221,5358,6481,5098,6820,4760,7565,5171,7780,4955m8131,4605l7264,3738,7489,3512,7936,3066,7711,2841,7039,3512,6448,2922,7224,2145,6999,1920,6033,2886,7941,4794,8131,4605m9707,3029l8213,1535,8024,1346,8497,872,8272,647,7138,1781,7363,2007,7834,1535,9517,3218,9707,3029e" filled="true" fillcolor="#c0c0c0" stroked="false">
            <v:path arrowok="t"/>
            <v:fill opacity="32896f" type="solid"/>
            <w10:wrap type="none"/>
          </v:shape>
        </w:pict>
      </w:r>
      <w:r>
        <w:rPr>
          <w:color w:val="201D1E"/>
        </w:rPr>
        <w:t>Many characteristics of the natural and built environment contribute to an area's "sense of place," or the impression a particular place leaves on residents and visitors. These factors include:</w:t>
      </w:r>
    </w:p>
    <w:p>
      <w:pPr>
        <w:pStyle w:val="ListParagraph"/>
        <w:numPr>
          <w:ilvl w:val="0"/>
          <w:numId w:val="1"/>
        </w:numPr>
        <w:tabs>
          <w:tab w:pos="820" w:val="left" w:leader="none"/>
          <w:tab w:pos="821" w:val="left" w:leader="none"/>
        </w:tabs>
        <w:spacing w:line="240" w:lineRule="auto" w:before="165" w:after="0"/>
        <w:ind w:left="820" w:right="0" w:hanging="360"/>
        <w:jc w:val="left"/>
        <w:rPr>
          <w:sz w:val="24"/>
        </w:rPr>
      </w:pPr>
      <w:r>
        <w:rPr>
          <w:color w:val="201D1E"/>
          <w:sz w:val="24"/>
        </w:rPr>
        <w:t>The size and scale of the buildings and the spaces between</w:t>
      </w:r>
      <w:r>
        <w:rPr>
          <w:color w:val="201D1E"/>
          <w:spacing w:val="-11"/>
          <w:sz w:val="24"/>
        </w:rPr>
        <w:t> </w:t>
      </w:r>
      <w:r>
        <w:rPr>
          <w:color w:val="201D1E"/>
          <w:sz w:val="24"/>
        </w:rPr>
        <w:t>them,</w:t>
      </w:r>
    </w:p>
    <w:p>
      <w:pPr>
        <w:pStyle w:val="ListParagraph"/>
        <w:numPr>
          <w:ilvl w:val="0"/>
          <w:numId w:val="1"/>
        </w:numPr>
        <w:tabs>
          <w:tab w:pos="820" w:val="left" w:leader="none"/>
          <w:tab w:pos="821" w:val="left" w:leader="none"/>
        </w:tabs>
        <w:spacing w:line="240" w:lineRule="auto" w:before="22" w:after="0"/>
        <w:ind w:left="820" w:right="0" w:hanging="360"/>
        <w:jc w:val="left"/>
        <w:rPr>
          <w:sz w:val="24"/>
        </w:rPr>
      </w:pPr>
      <w:r>
        <w:rPr>
          <w:color w:val="201D1E"/>
          <w:sz w:val="24"/>
        </w:rPr>
        <w:t>The uses in the buildings (although these may change over</w:t>
      </w:r>
      <w:r>
        <w:rPr>
          <w:color w:val="201D1E"/>
          <w:spacing w:val="-13"/>
          <w:sz w:val="24"/>
        </w:rPr>
        <w:t> </w:t>
      </w:r>
      <w:r>
        <w:rPr>
          <w:color w:val="201D1E"/>
          <w:sz w:val="24"/>
        </w:rPr>
        <w:t>time),</w:t>
      </w:r>
    </w:p>
    <w:p>
      <w:pPr>
        <w:pStyle w:val="ListParagraph"/>
        <w:numPr>
          <w:ilvl w:val="0"/>
          <w:numId w:val="1"/>
        </w:numPr>
        <w:tabs>
          <w:tab w:pos="820" w:val="left" w:leader="none"/>
          <w:tab w:pos="821" w:val="left" w:leader="none"/>
        </w:tabs>
        <w:spacing w:line="240" w:lineRule="auto" w:before="21" w:after="0"/>
        <w:ind w:left="820" w:right="0" w:hanging="360"/>
        <w:jc w:val="left"/>
        <w:rPr>
          <w:sz w:val="24"/>
        </w:rPr>
      </w:pPr>
      <w:r>
        <w:rPr>
          <w:color w:val="201D1E"/>
          <w:sz w:val="24"/>
        </w:rPr>
        <w:t>The patterns of activity in the spaces between</w:t>
      </w:r>
      <w:r>
        <w:rPr>
          <w:color w:val="201D1E"/>
          <w:spacing w:val="-4"/>
          <w:sz w:val="24"/>
        </w:rPr>
        <w:t> </w:t>
      </w:r>
      <w:r>
        <w:rPr>
          <w:color w:val="201D1E"/>
          <w:sz w:val="24"/>
        </w:rPr>
        <w:t>buildings,</w:t>
      </w:r>
    </w:p>
    <w:p>
      <w:pPr>
        <w:pStyle w:val="ListParagraph"/>
        <w:numPr>
          <w:ilvl w:val="0"/>
          <w:numId w:val="1"/>
        </w:numPr>
        <w:tabs>
          <w:tab w:pos="820" w:val="left" w:leader="none"/>
          <w:tab w:pos="821" w:val="left" w:leader="none"/>
        </w:tabs>
        <w:spacing w:line="240" w:lineRule="auto" w:before="22" w:after="0"/>
        <w:ind w:left="820" w:right="0" w:hanging="360"/>
        <w:jc w:val="left"/>
        <w:rPr>
          <w:sz w:val="24"/>
        </w:rPr>
      </w:pPr>
      <w:r>
        <w:rPr>
          <w:color w:val="201D1E"/>
          <w:sz w:val="24"/>
        </w:rPr>
        <w:t>Views to and from the buildings and spaces,</w:t>
      </w:r>
      <w:r>
        <w:rPr>
          <w:color w:val="201D1E"/>
          <w:spacing w:val="-1"/>
          <w:sz w:val="24"/>
        </w:rPr>
        <w:t> </w:t>
      </w:r>
      <w:r>
        <w:rPr>
          <w:color w:val="201D1E"/>
          <w:sz w:val="24"/>
        </w:rPr>
        <w:t>and</w:t>
      </w:r>
    </w:p>
    <w:p>
      <w:pPr>
        <w:pStyle w:val="ListParagraph"/>
        <w:numPr>
          <w:ilvl w:val="0"/>
          <w:numId w:val="1"/>
        </w:numPr>
        <w:tabs>
          <w:tab w:pos="820" w:val="left" w:leader="none"/>
          <w:tab w:pos="821" w:val="left" w:leader="none"/>
        </w:tabs>
        <w:spacing w:line="256" w:lineRule="auto" w:before="22" w:after="0"/>
        <w:ind w:left="820" w:right="124" w:hanging="360"/>
        <w:jc w:val="left"/>
        <w:rPr>
          <w:sz w:val="24"/>
        </w:rPr>
      </w:pPr>
      <w:r>
        <w:rPr>
          <w:color w:val="201D1E"/>
          <w:sz w:val="24"/>
        </w:rPr>
        <w:t>Special details such as historic structures, attractive landscape elements, and public artwork.</w:t>
      </w:r>
    </w:p>
    <w:p>
      <w:pPr>
        <w:pStyle w:val="BodyText"/>
        <w:spacing w:line="259" w:lineRule="auto" w:before="166"/>
        <w:ind w:right="115" w:firstLine="0"/>
        <w:jc w:val="both"/>
      </w:pPr>
      <w:r>
        <w:rPr>
          <w:color w:val="201D1E"/>
          <w:w w:val="105"/>
        </w:rPr>
        <w:t>All</w:t>
      </w:r>
      <w:r>
        <w:rPr>
          <w:color w:val="201D1E"/>
          <w:spacing w:val="-35"/>
          <w:w w:val="105"/>
        </w:rPr>
        <w:t> </w:t>
      </w:r>
      <w:r>
        <w:rPr>
          <w:color w:val="201D1E"/>
          <w:w w:val="105"/>
        </w:rPr>
        <w:t>these</w:t>
      </w:r>
      <w:r>
        <w:rPr>
          <w:color w:val="201D1E"/>
          <w:spacing w:val="-36"/>
          <w:w w:val="105"/>
        </w:rPr>
        <w:t> </w:t>
      </w:r>
      <w:r>
        <w:rPr>
          <w:color w:val="201D1E"/>
          <w:w w:val="105"/>
        </w:rPr>
        <w:t>elements</w:t>
      </w:r>
      <w:r>
        <w:rPr>
          <w:color w:val="201D1E"/>
          <w:spacing w:val="-34"/>
          <w:w w:val="105"/>
        </w:rPr>
        <w:t> </w:t>
      </w:r>
      <w:r>
        <w:rPr>
          <w:color w:val="201D1E"/>
          <w:w w:val="105"/>
        </w:rPr>
        <w:t>help</w:t>
      </w:r>
      <w:r>
        <w:rPr>
          <w:color w:val="201D1E"/>
          <w:spacing w:val="-35"/>
          <w:w w:val="105"/>
        </w:rPr>
        <w:t> </w:t>
      </w:r>
      <w:r>
        <w:rPr>
          <w:color w:val="201D1E"/>
          <w:w w:val="105"/>
        </w:rPr>
        <w:t>to</w:t>
      </w:r>
      <w:r>
        <w:rPr>
          <w:color w:val="201D1E"/>
          <w:spacing w:val="-35"/>
          <w:w w:val="105"/>
        </w:rPr>
        <w:t> </w:t>
      </w:r>
      <w:r>
        <w:rPr>
          <w:color w:val="201D1E"/>
          <w:w w:val="105"/>
        </w:rPr>
        <w:t>define</w:t>
      </w:r>
      <w:r>
        <w:rPr>
          <w:color w:val="201D1E"/>
          <w:spacing w:val="-36"/>
          <w:w w:val="105"/>
        </w:rPr>
        <w:t> </w:t>
      </w:r>
      <w:r>
        <w:rPr>
          <w:color w:val="201D1E"/>
          <w:w w:val="105"/>
        </w:rPr>
        <w:t>a</w:t>
      </w:r>
      <w:r>
        <w:rPr>
          <w:color w:val="201D1E"/>
          <w:spacing w:val="-36"/>
          <w:w w:val="105"/>
        </w:rPr>
        <w:t> </w:t>
      </w:r>
      <w:r>
        <w:rPr>
          <w:color w:val="201D1E"/>
          <w:w w:val="105"/>
        </w:rPr>
        <w:t>place</w:t>
      </w:r>
      <w:r>
        <w:rPr>
          <w:color w:val="201D1E"/>
          <w:spacing w:val="-36"/>
          <w:w w:val="105"/>
        </w:rPr>
        <w:t> </w:t>
      </w:r>
      <w:r>
        <w:rPr>
          <w:color w:val="201D1E"/>
          <w:w w:val="105"/>
        </w:rPr>
        <w:t>in</w:t>
      </w:r>
      <w:r>
        <w:rPr>
          <w:color w:val="201D1E"/>
          <w:spacing w:val="-35"/>
          <w:w w:val="105"/>
        </w:rPr>
        <w:t> </w:t>
      </w:r>
      <w:r>
        <w:rPr>
          <w:color w:val="201D1E"/>
          <w:w w:val="105"/>
        </w:rPr>
        <w:t>our</w:t>
      </w:r>
      <w:r>
        <w:rPr>
          <w:color w:val="201D1E"/>
          <w:spacing w:val="-36"/>
          <w:w w:val="105"/>
        </w:rPr>
        <w:t> </w:t>
      </w:r>
      <w:r>
        <w:rPr>
          <w:color w:val="201D1E"/>
          <w:w w:val="105"/>
        </w:rPr>
        <w:t>minds</w:t>
      </w:r>
      <w:r>
        <w:rPr>
          <w:color w:val="201D1E"/>
          <w:spacing w:val="-35"/>
          <w:w w:val="105"/>
        </w:rPr>
        <w:t> </w:t>
      </w:r>
      <w:r>
        <w:rPr>
          <w:color w:val="201D1E"/>
          <w:w w:val="105"/>
        </w:rPr>
        <w:t>and</w:t>
      </w:r>
      <w:r>
        <w:rPr>
          <w:color w:val="201D1E"/>
          <w:spacing w:val="-35"/>
          <w:w w:val="105"/>
        </w:rPr>
        <w:t> </w:t>
      </w:r>
      <w:r>
        <w:rPr>
          <w:color w:val="201D1E"/>
          <w:w w:val="105"/>
        </w:rPr>
        <w:t>give</w:t>
      </w:r>
      <w:r>
        <w:rPr>
          <w:color w:val="201D1E"/>
          <w:spacing w:val="-36"/>
          <w:w w:val="105"/>
        </w:rPr>
        <w:t> </w:t>
      </w:r>
      <w:r>
        <w:rPr>
          <w:color w:val="201D1E"/>
          <w:w w:val="105"/>
        </w:rPr>
        <w:t>it</w:t>
      </w:r>
      <w:r>
        <w:rPr>
          <w:color w:val="201D1E"/>
          <w:spacing w:val="-34"/>
          <w:w w:val="105"/>
        </w:rPr>
        <w:t> </w:t>
      </w:r>
      <w:r>
        <w:rPr>
          <w:color w:val="201D1E"/>
          <w:w w:val="105"/>
        </w:rPr>
        <w:t>a</w:t>
      </w:r>
      <w:r>
        <w:rPr>
          <w:color w:val="201D1E"/>
          <w:spacing w:val="-36"/>
          <w:w w:val="105"/>
        </w:rPr>
        <w:t> </w:t>
      </w:r>
      <w:r>
        <w:rPr>
          <w:color w:val="201D1E"/>
          <w:w w:val="105"/>
        </w:rPr>
        <w:t>distinct</w:t>
      </w:r>
      <w:r>
        <w:rPr>
          <w:color w:val="201D1E"/>
          <w:spacing w:val="-35"/>
          <w:w w:val="105"/>
        </w:rPr>
        <w:t> </w:t>
      </w:r>
      <w:r>
        <w:rPr>
          <w:color w:val="201D1E"/>
          <w:w w:val="105"/>
        </w:rPr>
        <w:t>identity.</w:t>
      </w:r>
      <w:r>
        <w:rPr>
          <w:color w:val="201D1E"/>
          <w:spacing w:val="-34"/>
          <w:w w:val="105"/>
        </w:rPr>
        <w:t> </w:t>
      </w:r>
      <w:r>
        <w:rPr>
          <w:color w:val="201D1E"/>
          <w:w w:val="105"/>
        </w:rPr>
        <w:t>It</w:t>
      </w:r>
      <w:r>
        <w:rPr>
          <w:color w:val="201D1E"/>
          <w:spacing w:val="-35"/>
          <w:w w:val="105"/>
        </w:rPr>
        <w:t> </w:t>
      </w:r>
      <w:r>
        <w:rPr>
          <w:color w:val="201D1E"/>
          <w:w w:val="105"/>
        </w:rPr>
        <w:t>is</w:t>
      </w:r>
      <w:r>
        <w:rPr>
          <w:color w:val="201D1E"/>
          <w:spacing w:val="-34"/>
          <w:w w:val="105"/>
        </w:rPr>
        <w:t> </w:t>
      </w:r>
      <w:r>
        <w:rPr>
          <w:color w:val="201D1E"/>
          <w:w w:val="105"/>
        </w:rPr>
        <w:t>this</w:t>
      </w:r>
      <w:r>
        <w:rPr>
          <w:color w:val="201D1E"/>
          <w:spacing w:val="-35"/>
          <w:w w:val="105"/>
        </w:rPr>
        <w:t> </w:t>
      </w:r>
      <w:r>
        <w:rPr>
          <w:color w:val="201D1E"/>
          <w:w w:val="105"/>
        </w:rPr>
        <w:t>human dimension</w:t>
      </w:r>
      <w:r>
        <w:rPr>
          <w:color w:val="201D1E"/>
          <w:spacing w:val="-11"/>
          <w:w w:val="105"/>
        </w:rPr>
        <w:t> </w:t>
      </w:r>
      <w:r>
        <w:rPr>
          <w:color w:val="201D1E"/>
          <w:w w:val="105"/>
        </w:rPr>
        <w:t>of</w:t>
      </w:r>
      <w:r>
        <w:rPr>
          <w:color w:val="201D1E"/>
          <w:spacing w:val="-12"/>
          <w:w w:val="105"/>
        </w:rPr>
        <w:t> </w:t>
      </w:r>
      <w:r>
        <w:rPr>
          <w:color w:val="201D1E"/>
          <w:w w:val="105"/>
        </w:rPr>
        <w:t>Place</w:t>
      </w:r>
      <w:r>
        <w:rPr>
          <w:color w:val="201D1E"/>
          <w:spacing w:val="-11"/>
          <w:w w:val="105"/>
        </w:rPr>
        <w:t> </w:t>
      </w:r>
      <w:r>
        <w:rPr>
          <w:color w:val="201D1E"/>
          <w:w w:val="105"/>
        </w:rPr>
        <w:t>Types</w:t>
      </w:r>
      <w:r>
        <w:rPr>
          <w:color w:val="201D1E"/>
          <w:spacing w:val="-9"/>
          <w:w w:val="105"/>
        </w:rPr>
        <w:t> </w:t>
      </w:r>
      <w:r>
        <w:rPr>
          <w:rFonts w:ascii="Trebuchet MS" w:hAnsi="Trebuchet MS"/>
          <w:w w:val="105"/>
        </w:rPr>
        <w:t>–</w:t>
      </w:r>
      <w:r>
        <w:rPr>
          <w:rFonts w:ascii="Trebuchet MS" w:hAnsi="Trebuchet MS"/>
          <w:spacing w:val="-18"/>
          <w:w w:val="105"/>
        </w:rPr>
        <w:t> </w:t>
      </w:r>
      <w:r>
        <w:rPr>
          <w:color w:val="201D1E"/>
          <w:w w:val="105"/>
        </w:rPr>
        <w:t>their</w:t>
      </w:r>
      <w:r>
        <w:rPr>
          <w:color w:val="201D1E"/>
          <w:spacing w:val="-12"/>
          <w:w w:val="105"/>
        </w:rPr>
        <w:t> </w:t>
      </w:r>
      <w:r>
        <w:rPr>
          <w:color w:val="201D1E"/>
          <w:w w:val="105"/>
        </w:rPr>
        <w:t>relationship</w:t>
      </w:r>
      <w:r>
        <w:rPr>
          <w:color w:val="201D1E"/>
          <w:spacing w:val="-10"/>
          <w:w w:val="105"/>
        </w:rPr>
        <w:t> </w:t>
      </w:r>
      <w:r>
        <w:rPr>
          <w:color w:val="201D1E"/>
          <w:w w:val="105"/>
        </w:rPr>
        <w:t>to</w:t>
      </w:r>
      <w:r>
        <w:rPr>
          <w:color w:val="201D1E"/>
          <w:spacing w:val="-11"/>
          <w:w w:val="105"/>
        </w:rPr>
        <w:t> </w:t>
      </w:r>
      <w:r>
        <w:rPr>
          <w:color w:val="201D1E"/>
          <w:w w:val="105"/>
        </w:rPr>
        <w:t>the</w:t>
      </w:r>
      <w:r>
        <w:rPr>
          <w:color w:val="201D1E"/>
          <w:spacing w:val="-12"/>
          <w:w w:val="105"/>
        </w:rPr>
        <w:t> </w:t>
      </w:r>
      <w:r>
        <w:rPr>
          <w:color w:val="201D1E"/>
          <w:w w:val="105"/>
        </w:rPr>
        <w:t>way</w:t>
      </w:r>
      <w:r>
        <w:rPr>
          <w:color w:val="201D1E"/>
          <w:spacing w:val="-14"/>
          <w:w w:val="105"/>
        </w:rPr>
        <w:t> </w:t>
      </w:r>
      <w:r>
        <w:rPr>
          <w:color w:val="201D1E"/>
          <w:w w:val="105"/>
        </w:rPr>
        <w:t>we</w:t>
      </w:r>
      <w:r>
        <w:rPr>
          <w:color w:val="201D1E"/>
          <w:spacing w:val="-12"/>
          <w:w w:val="105"/>
        </w:rPr>
        <w:t> </w:t>
      </w:r>
      <w:r>
        <w:rPr>
          <w:color w:val="201D1E"/>
          <w:w w:val="105"/>
        </w:rPr>
        <w:t>experience</w:t>
      </w:r>
      <w:r>
        <w:rPr>
          <w:color w:val="201D1E"/>
          <w:spacing w:val="-11"/>
          <w:w w:val="105"/>
        </w:rPr>
        <w:t> </w:t>
      </w:r>
      <w:r>
        <w:rPr>
          <w:color w:val="201D1E"/>
          <w:w w:val="105"/>
        </w:rPr>
        <w:t>our</w:t>
      </w:r>
      <w:r>
        <w:rPr>
          <w:color w:val="201D1E"/>
          <w:spacing w:val="-12"/>
          <w:w w:val="105"/>
        </w:rPr>
        <w:t> </w:t>
      </w:r>
      <w:r>
        <w:rPr>
          <w:color w:val="201D1E"/>
          <w:w w:val="105"/>
        </w:rPr>
        <w:t>environment</w:t>
      </w:r>
      <w:r>
        <w:rPr>
          <w:color w:val="201D1E"/>
          <w:spacing w:val="-7"/>
          <w:w w:val="105"/>
        </w:rPr>
        <w:t> </w:t>
      </w:r>
      <w:r>
        <w:rPr>
          <w:rFonts w:ascii="Trebuchet MS" w:hAnsi="Trebuchet MS"/>
          <w:w w:val="105"/>
        </w:rPr>
        <w:t>–</w:t>
      </w:r>
      <w:r>
        <w:rPr>
          <w:rFonts w:ascii="Trebuchet MS" w:hAnsi="Trebuchet MS"/>
          <w:spacing w:val="-18"/>
          <w:w w:val="105"/>
        </w:rPr>
        <w:t> </w:t>
      </w:r>
      <w:r>
        <w:rPr>
          <w:color w:val="201D1E"/>
          <w:w w:val="105"/>
        </w:rPr>
        <w:t>that makes</w:t>
      </w:r>
      <w:r>
        <w:rPr>
          <w:color w:val="201D1E"/>
          <w:spacing w:val="-31"/>
          <w:w w:val="105"/>
        </w:rPr>
        <w:t> </w:t>
      </w:r>
      <w:r>
        <w:rPr>
          <w:color w:val="201D1E"/>
          <w:w w:val="105"/>
        </w:rPr>
        <w:t>them</w:t>
      </w:r>
      <w:r>
        <w:rPr>
          <w:color w:val="201D1E"/>
          <w:spacing w:val="-31"/>
          <w:w w:val="105"/>
        </w:rPr>
        <w:t> </w:t>
      </w:r>
      <w:r>
        <w:rPr>
          <w:color w:val="201D1E"/>
          <w:w w:val="105"/>
        </w:rPr>
        <w:t>such</w:t>
      </w:r>
      <w:r>
        <w:rPr>
          <w:color w:val="201D1E"/>
          <w:spacing w:val="-31"/>
          <w:w w:val="105"/>
        </w:rPr>
        <w:t> </w:t>
      </w:r>
      <w:r>
        <w:rPr>
          <w:color w:val="201D1E"/>
          <w:w w:val="105"/>
        </w:rPr>
        <w:t>a</w:t>
      </w:r>
      <w:r>
        <w:rPr>
          <w:color w:val="201D1E"/>
          <w:spacing w:val="-33"/>
          <w:w w:val="105"/>
        </w:rPr>
        <w:t> </w:t>
      </w:r>
      <w:r>
        <w:rPr>
          <w:color w:val="201D1E"/>
          <w:w w:val="105"/>
        </w:rPr>
        <w:t>useful</w:t>
      </w:r>
      <w:r>
        <w:rPr>
          <w:color w:val="201D1E"/>
          <w:spacing w:val="-31"/>
          <w:w w:val="105"/>
        </w:rPr>
        <w:t> </w:t>
      </w:r>
      <w:r>
        <w:rPr>
          <w:color w:val="201D1E"/>
          <w:w w:val="105"/>
        </w:rPr>
        <w:t>tool</w:t>
      </w:r>
      <w:r>
        <w:rPr>
          <w:color w:val="201D1E"/>
          <w:spacing w:val="-31"/>
          <w:w w:val="105"/>
        </w:rPr>
        <w:t> </w:t>
      </w:r>
      <w:r>
        <w:rPr>
          <w:color w:val="201D1E"/>
          <w:w w:val="105"/>
        </w:rPr>
        <w:t>in</w:t>
      </w:r>
      <w:r>
        <w:rPr>
          <w:color w:val="201D1E"/>
          <w:spacing w:val="-31"/>
          <w:w w:val="105"/>
        </w:rPr>
        <w:t> </w:t>
      </w:r>
      <w:r>
        <w:rPr>
          <w:color w:val="201D1E"/>
          <w:w w:val="105"/>
        </w:rPr>
        <w:t>describing</w:t>
      </w:r>
      <w:r>
        <w:rPr>
          <w:color w:val="201D1E"/>
          <w:spacing w:val="-33"/>
          <w:w w:val="105"/>
        </w:rPr>
        <w:t> </w:t>
      </w:r>
      <w:r>
        <w:rPr>
          <w:color w:val="201D1E"/>
          <w:w w:val="105"/>
        </w:rPr>
        <w:t>the</w:t>
      </w:r>
      <w:r>
        <w:rPr>
          <w:color w:val="201D1E"/>
          <w:spacing w:val="-31"/>
          <w:w w:val="105"/>
        </w:rPr>
        <w:t> </w:t>
      </w:r>
      <w:r>
        <w:rPr>
          <w:color w:val="201D1E"/>
          <w:w w:val="105"/>
        </w:rPr>
        <w:t>type</w:t>
      </w:r>
      <w:r>
        <w:rPr>
          <w:color w:val="201D1E"/>
          <w:spacing w:val="-32"/>
          <w:w w:val="105"/>
        </w:rPr>
        <w:t> </w:t>
      </w:r>
      <w:r>
        <w:rPr>
          <w:color w:val="201D1E"/>
          <w:w w:val="105"/>
        </w:rPr>
        <w:t>of</w:t>
      </w:r>
      <w:r>
        <w:rPr>
          <w:color w:val="201D1E"/>
          <w:spacing w:val="-31"/>
          <w:w w:val="105"/>
        </w:rPr>
        <w:t> </w:t>
      </w:r>
      <w:r>
        <w:rPr>
          <w:color w:val="201D1E"/>
          <w:w w:val="105"/>
        </w:rPr>
        <w:t>development</w:t>
      </w:r>
      <w:r>
        <w:rPr>
          <w:color w:val="201D1E"/>
          <w:spacing w:val="-31"/>
          <w:w w:val="105"/>
        </w:rPr>
        <w:t> </w:t>
      </w:r>
      <w:r>
        <w:rPr>
          <w:color w:val="201D1E"/>
          <w:w w:val="105"/>
        </w:rPr>
        <w:t>desired</w:t>
      </w:r>
      <w:r>
        <w:rPr>
          <w:color w:val="201D1E"/>
          <w:spacing w:val="-31"/>
          <w:w w:val="105"/>
        </w:rPr>
        <w:t> </w:t>
      </w:r>
      <w:r>
        <w:rPr>
          <w:color w:val="201D1E"/>
          <w:w w:val="105"/>
        </w:rPr>
        <w:t>in</w:t>
      </w:r>
      <w:r>
        <w:rPr>
          <w:color w:val="201D1E"/>
          <w:spacing w:val="-30"/>
          <w:w w:val="105"/>
        </w:rPr>
        <w:t> </w:t>
      </w:r>
      <w:r>
        <w:rPr>
          <w:color w:val="201D1E"/>
          <w:w w:val="105"/>
        </w:rPr>
        <w:t>Loudoun</w:t>
      </w:r>
      <w:r>
        <w:rPr>
          <w:color w:val="201D1E"/>
          <w:spacing w:val="-31"/>
          <w:w w:val="105"/>
        </w:rPr>
        <w:t> </w:t>
      </w:r>
      <w:r>
        <w:rPr>
          <w:color w:val="201D1E"/>
          <w:w w:val="105"/>
        </w:rPr>
        <w:t>County.</w:t>
      </w:r>
    </w:p>
    <w:p>
      <w:pPr>
        <w:pStyle w:val="Heading4"/>
        <w:spacing w:before="134"/>
      </w:pPr>
      <w:r>
        <w:rPr>
          <w:color w:val="396230"/>
          <w:w w:val="105"/>
        </w:rPr>
        <w:t>Using Place Types</w:t>
      </w:r>
    </w:p>
    <w:p>
      <w:pPr>
        <w:pStyle w:val="BodyText"/>
        <w:spacing w:line="259" w:lineRule="auto" w:before="52"/>
        <w:ind w:right="117" w:firstLine="0"/>
        <w:jc w:val="both"/>
      </w:pPr>
      <w:r>
        <w:rPr/>
        <w:t>The Place Types described in this chapter have been carefully chosen to complement the current built and natural environment of the County, while fulfilling the land use patterns and</w:t>
      </w:r>
      <w:r>
        <w:rPr>
          <w:spacing w:val="-32"/>
        </w:rPr>
        <w:t> </w:t>
      </w:r>
      <w:r>
        <w:rPr/>
        <w:t>community characteristics envisioned for each policy area. Place Types emphasize form and function as well as expected land uses. This makes Place Types especially useful tools to guide future decisions regarding</w:t>
      </w:r>
      <w:r>
        <w:rPr>
          <w:spacing w:val="-12"/>
        </w:rPr>
        <w:t> </w:t>
      </w:r>
      <w:r>
        <w:rPr/>
        <w:t>growth</w:t>
      </w:r>
      <w:r>
        <w:rPr>
          <w:spacing w:val="-12"/>
        </w:rPr>
        <w:t> </w:t>
      </w:r>
      <w:r>
        <w:rPr/>
        <w:t>and</w:t>
      </w:r>
      <w:r>
        <w:rPr>
          <w:spacing w:val="-12"/>
        </w:rPr>
        <w:t> </w:t>
      </w:r>
      <w:r>
        <w:rPr/>
        <w:t>development</w:t>
      </w:r>
      <w:r>
        <w:rPr>
          <w:spacing w:val="-12"/>
        </w:rPr>
        <w:t> </w:t>
      </w:r>
      <w:r>
        <w:rPr/>
        <w:t>in</w:t>
      </w:r>
      <w:r>
        <w:rPr>
          <w:spacing w:val="-12"/>
        </w:rPr>
        <w:t> </w:t>
      </w:r>
      <w:r>
        <w:rPr/>
        <w:t>each</w:t>
      </w:r>
      <w:r>
        <w:rPr>
          <w:spacing w:val="-12"/>
        </w:rPr>
        <w:t> </w:t>
      </w:r>
      <w:r>
        <w:rPr/>
        <w:t>community,</w:t>
      </w:r>
      <w:r>
        <w:rPr>
          <w:spacing w:val="-12"/>
        </w:rPr>
        <w:t> </w:t>
      </w:r>
      <w:r>
        <w:rPr/>
        <w:t>taking</w:t>
      </w:r>
      <w:r>
        <w:rPr>
          <w:spacing w:val="-14"/>
        </w:rPr>
        <w:t> </w:t>
      </w:r>
      <w:r>
        <w:rPr/>
        <w:t>into</w:t>
      </w:r>
      <w:r>
        <w:rPr>
          <w:spacing w:val="-12"/>
        </w:rPr>
        <w:t> </w:t>
      </w:r>
      <w:r>
        <w:rPr/>
        <w:t>account</w:t>
      </w:r>
      <w:r>
        <w:rPr>
          <w:spacing w:val="-10"/>
        </w:rPr>
        <w:t> </w:t>
      </w:r>
      <w:r>
        <w:rPr/>
        <w:t>variable</w:t>
      </w:r>
      <w:r>
        <w:rPr>
          <w:spacing w:val="-13"/>
        </w:rPr>
        <w:t> </w:t>
      </w:r>
      <w:r>
        <w:rPr/>
        <w:t>priorities</w:t>
      </w:r>
      <w:r>
        <w:rPr>
          <w:spacing w:val="-12"/>
        </w:rPr>
        <w:t> </w:t>
      </w:r>
      <w:r>
        <w:rPr/>
        <w:t>such as: economic development, land preservation, protection of natural and heritage resources, efficient transportation options, and the provision of public facilities and</w:t>
      </w:r>
      <w:r>
        <w:rPr>
          <w:spacing w:val="-4"/>
        </w:rPr>
        <w:t> </w:t>
      </w:r>
      <w:r>
        <w:rPr/>
        <w:t>services.</w:t>
      </w:r>
    </w:p>
    <w:p>
      <w:pPr>
        <w:pStyle w:val="BodyText"/>
        <w:spacing w:line="259" w:lineRule="auto" w:before="158"/>
        <w:ind w:right="117" w:firstLine="0"/>
        <w:jc w:val="both"/>
      </w:pPr>
      <w:r>
        <w:rPr/>
        <w:t>Each of Loudoun's Policy Areas is divided into distinct Place Types that reflect their unique form and character. Collectively, the defined elements of each Place Type help to ensure that future development creates the desired character and function. Each Policy Area section in the Plan provides a detailed description of each corresponding Place Type, including:</w:t>
      </w:r>
    </w:p>
    <w:p>
      <w:pPr>
        <w:pStyle w:val="ListParagraph"/>
        <w:numPr>
          <w:ilvl w:val="0"/>
          <w:numId w:val="2"/>
        </w:numPr>
        <w:tabs>
          <w:tab w:pos="820" w:val="left" w:leader="none"/>
          <w:tab w:pos="821" w:val="left" w:leader="none"/>
        </w:tabs>
        <w:spacing w:line="256" w:lineRule="auto" w:before="159" w:after="0"/>
        <w:ind w:left="820" w:right="119" w:hanging="360"/>
        <w:jc w:val="left"/>
        <w:rPr>
          <w:sz w:val="24"/>
        </w:rPr>
      </w:pPr>
      <w:r>
        <w:rPr>
          <w:sz w:val="24"/>
        </w:rPr>
        <w:t>A summary of the general development pattern, scale, form, function, and how it complements or fulfills the larger visions or policies described elsewhere in the</w:t>
      </w:r>
      <w:r>
        <w:rPr>
          <w:spacing w:val="-5"/>
          <w:sz w:val="24"/>
        </w:rPr>
        <w:t> </w:t>
      </w:r>
      <w:r>
        <w:rPr>
          <w:sz w:val="24"/>
        </w:rPr>
        <w:t>Plan;</w:t>
      </w:r>
    </w:p>
    <w:p>
      <w:pPr>
        <w:pStyle w:val="ListParagraph"/>
        <w:numPr>
          <w:ilvl w:val="0"/>
          <w:numId w:val="2"/>
        </w:numPr>
        <w:tabs>
          <w:tab w:pos="820" w:val="left" w:leader="none"/>
          <w:tab w:pos="821" w:val="left" w:leader="none"/>
        </w:tabs>
        <w:spacing w:line="259" w:lineRule="auto" w:before="2" w:after="0"/>
        <w:ind w:left="820" w:right="123" w:hanging="360"/>
        <w:jc w:val="left"/>
        <w:rPr>
          <w:sz w:val="24"/>
        </w:rPr>
      </w:pPr>
      <w:r>
        <w:rPr>
          <w:sz w:val="24"/>
        </w:rPr>
        <w:t>The categories of uses expected in the area, including predominant uses and complementary secondary uses that will fulfill the intent of the Place</w:t>
      </w:r>
      <w:r>
        <w:rPr>
          <w:spacing w:val="-10"/>
          <w:sz w:val="24"/>
        </w:rPr>
        <w:t> </w:t>
      </w:r>
      <w:r>
        <w:rPr>
          <w:sz w:val="24"/>
        </w:rPr>
        <w:t>Type;</w:t>
      </w:r>
    </w:p>
    <w:p>
      <w:pPr>
        <w:pStyle w:val="ListParagraph"/>
        <w:numPr>
          <w:ilvl w:val="0"/>
          <w:numId w:val="2"/>
        </w:numPr>
        <w:tabs>
          <w:tab w:pos="821" w:val="left" w:leader="none"/>
        </w:tabs>
        <w:spacing w:line="256" w:lineRule="auto" w:before="0" w:after="0"/>
        <w:ind w:left="820" w:right="114" w:hanging="360"/>
        <w:jc w:val="both"/>
        <w:rPr>
          <w:sz w:val="24"/>
        </w:rPr>
      </w:pPr>
      <w:r>
        <w:rPr>
          <w:sz w:val="24"/>
        </w:rPr>
        <w:t>The expected physical form of each place type in terms of street pattern, block size and type (e.g. orthogonal or curvilinear), setbacks, design amenities, parking facilities, and open or civic</w:t>
      </w:r>
      <w:r>
        <w:rPr>
          <w:spacing w:val="-2"/>
          <w:sz w:val="24"/>
        </w:rPr>
        <w:t> </w:t>
      </w:r>
      <w:r>
        <w:rPr>
          <w:sz w:val="24"/>
        </w:rPr>
        <w:t>space;</w:t>
      </w:r>
    </w:p>
    <w:p>
      <w:pPr>
        <w:pStyle w:val="ListParagraph"/>
        <w:numPr>
          <w:ilvl w:val="0"/>
          <w:numId w:val="2"/>
        </w:numPr>
        <w:tabs>
          <w:tab w:pos="820" w:val="left" w:leader="none"/>
          <w:tab w:pos="821" w:val="left" w:leader="none"/>
        </w:tabs>
        <w:spacing w:line="256" w:lineRule="auto" w:before="4" w:after="0"/>
        <w:ind w:left="820" w:right="120" w:hanging="360"/>
        <w:jc w:val="left"/>
        <w:rPr>
          <w:sz w:val="24"/>
        </w:rPr>
      </w:pPr>
      <w:r>
        <w:rPr>
          <w:sz w:val="24"/>
        </w:rPr>
        <w:t>The expected development intensity in terms of floor area ratio (FAR) and/or density to better define the anticipated massing, scale, and level of activity expected;</w:t>
      </w:r>
      <w:r>
        <w:rPr>
          <w:spacing w:val="-2"/>
          <w:sz w:val="24"/>
        </w:rPr>
        <w:t> </w:t>
      </w:r>
      <w:r>
        <w:rPr>
          <w:sz w:val="24"/>
        </w:rPr>
        <w:t>and</w:t>
      </w:r>
    </w:p>
    <w:p>
      <w:pPr>
        <w:spacing w:after="0" w:line="256" w:lineRule="auto"/>
        <w:jc w:val="left"/>
        <w:rPr>
          <w:sz w:val="24"/>
        </w:rPr>
        <w:sectPr>
          <w:pgSz w:w="12240" w:h="15840"/>
          <w:pgMar w:header="719" w:footer="540" w:top="1300" w:bottom="740" w:left="1340" w:right="1320"/>
        </w:sectPr>
      </w:pPr>
    </w:p>
    <w:p>
      <w:pPr>
        <w:pStyle w:val="ListParagraph"/>
        <w:numPr>
          <w:ilvl w:val="0"/>
          <w:numId w:val="2"/>
        </w:numPr>
        <w:tabs>
          <w:tab w:pos="821" w:val="left" w:leader="none"/>
        </w:tabs>
        <w:spacing w:line="256" w:lineRule="auto" w:before="117" w:after="0"/>
        <w:ind w:left="820" w:right="115" w:hanging="360"/>
        <w:jc w:val="both"/>
        <w:rPr>
          <w:sz w:val="24"/>
        </w:rPr>
      </w:pPr>
      <w:r>
        <w:rPr>
          <w:sz w:val="24"/>
        </w:rPr>
        <w:t>A</w:t>
      </w:r>
      <w:r>
        <w:rPr>
          <w:spacing w:val="-7"/>
          <w:sz w:val="24"/>
        </w:rPr>
        <w:t> </w:t>
      </w:r>
      <w:r>
        <w:rPr>
          <w:sz w:val="24"/>
        </w:rPr>
        <w:t>discussion</w:t>
      </w:r>
      <w:r>
        <w:rPr>
          <w:spacing w:val="-6"/>
          <w:sz w:val="24"/>
        </w:rPr>
        <w:t> </w:t>
      </w:r>
      <w:r>
        <w:rPr>
          <w:sz w:val="24"/>
        </w:rPr>
        <w:t>of</w:t>
      </w:r>
      <w:r>
        <w:rPr>
          <w:spacing w:val="-7"/>
          <w:sz w:val="24"/>
        </w:rPr>
        <w:t> </w:t>
      </w:r>
      <w:r>
        <w:rPr>
          <w:sz w:val="24"/>
        </w:rPr>
        <w:t>how</w:t>
      </w:r>
      <w:r>
        <w:rPr>
          <w:spacing w:val="-7"/>
          <w:sz w:val="24"/>
        </w:rPr>
        <w:t> </w:t>
      </w:r>
      <w:r>
        <w:rPr>
          <w:sz w:val="24"/>
        </w:rPr>
        <w:t>design</w:t>
      </w:r>
      <w:r>
        <w:rPr>
          <w:spacing w:val="-6"/>
          <w:sz w:val="24"/>
        </w:rPr>
        <w:t> </w:t>
      </w:r>
      <w:r>
        <w:rPr>
          <w:sz w:val="24"/>
        </w:rPr>
        <w:t>elements,</w:t>
      </w:r>
      <w:r>
        <w:rPr>
          <w:spacing w:val="-6"/>
          <w:sz w:val="24"/>
        </w:rPr>
        <w:t> </w:t>
      </w:r>
      <w:r>
        <w:rPr>
          <w:sz w:val="24"/>
        </w:rPr>
        <w:t>variations</w:t>
      </w:r>
      <w:r>
        <w:rPr>
          <w:spacing w:val="-6"/>
          <w:sz w:val="24"/>
        </w:rPr>
        <w:t> </w:t>
      </w:r>
      <w:r>
        <w:rPr>
          <w:sz w:val="24"/>
        </w:rPr>
        <w:t>in</w:t>
      </w:r>
      <w:r>
        <w:rPr>
          <w:spacing w:val="-4"/>
          <w:sz w:val="24"/>
        </w:rPr>
        <w:t> </w:t>
      </w:r>
      <w:r>
        <w:rPr>
          <w:sz w:val="24"/>
        </w:rPr>
        <w:t>land</w:t>
      </w:r>
      <w:r>
        <w:rPr>
          <w:spacing w:val="-7"/>
          <w:sz w:val="24"/>
        </w:rPr>
        <w:t> </w:t>
      </w:r>
      <w:r>
        <w:rPr>
          <w:sz w:val="24"/>
        </w:rPr>
        <w:t>use,</w:t>
      </w:r>
      <w:r>
        <w:rPr>
          <w:spacing w:val="-6"/>
          <w:sz w:val="24"/>
        </w:rPr>
        <w:t> </w:t>
      </w:r>
      <w:r>
        <w:rPr>
          <w:sz w:val="24"/>
        </w:rPr>
        <w:t>and</w:t>
      </w:r>
      <w:r>
        <w:rPr>
          <w:spacing w:val="-6"/>
          <w:sz w:val="24"/>
        </w:rPr>
        <w:t> </w:t>
      </w:r>
      <w:r>
        <w:rPr>
          <w:sz w:val="24"/>
        </w:rPr>
        <w:t>changes</w:t>
      </w:r>
      <w:r>
        <w:rPr>
          <w:spacing w:val="-6"/>
          <w:sz w:val="24"/>
        </w:rPr>
        <w:t> </w:t>
      </w:r>
      <w:r>
        <w:rPr>
          <w:sz w:val="24"/>
        </w:rPr>
        <w:t>in</w:t>
      </w:r>
      <w:r>
        <w:rPr>
          <w:spacing w:val="-3"/>
          <w:sz w:val="24"/>
        </w:rPr>
        <w:t> </w:t>
      </w:r>
      <w:r>
        <w:rPr>
          <w:sz w:val="24"/>
        </w:rPr>
        <w:t>density</w:t>
      </w:r>
      <w:r>
        <w:rPr>
          <w:spacing w:val="-11"/>
          <w:sz w:val="24"/>
        </w:rPr>
        <w:t> </w:t>
      </w:r>
      <w:r>
        <w:rPr>
          <w:sz w:val="24"/>
        </w:rPr>
        <w:t>can</w:t>
      </w:r>
      <w:r>
        <w:rPr>
          <w:spacing w:val="-6"/>
          <w:sz w:val="24"/>
        </w:rPr>
        <w:t> </w:t>
      </w:r>
      <w:r>
        <w:rPr>
          <w:sz w:val="24"/>
        </w:rPr>
        <w:t>be applied to ease transitions among different Place Types, ideally minimizing the need for intrusive screening or other structural mitigation</w:t>
      </w:r>
      <w:r>
        <w:rPr>
          <w:spacing w:val="-6"/>
          <w:sz w:val="24"/>
        </w:rPr>
        <w:t> </w:t>
      </w:r>
      <w:r>
        <w:rPr>
          <w:sz w:val="24"/>
        </w:rPr>
        <w:t>measures.</w:t>
      </w:r>
    </w:p>
    <w:p>
      <w:pPr>
        <w:pStyle w:val="BodyText"/>
        <w:spacing w:before="175"/>
        <w:ind w:firstLine="0"/>
        <w:rPr>
          <w:rFonts w:ascii="Verdana"/>
        </w:rPr>
      </w:pPr>
      <w:r>
        <w:rPr>
          <w:rFonts w:ascii="Verdana"/>
          <w:spacing w:val="-3"/>
          <w:w w:val="98"/>
          <w:u w:val="single"/>
        </w:rPr>
        <w:t>P</w:t>
      </w:r>
      <w:r>
        <w:rPr>
          <w:rFonts w:ascii="Verdana"/>
          <w:spacing w:val="3"/>
          <w:w w:val="72"/>
          <w:u w:val="single"/>
        </w:rPr>
        <w:t>l</w:t>
      </w:r>
      <w:r>
        <w:rPr>
          <w:rFonts w:ascii="Verdana"/>
          <w:spacing w:val="-1"/>
          <w:w w:val="113"/>
          <w:u w:val="single"/>
        </w:rPr>
        <w:t>a</w:t>
      </w:r>
      <w:r>
        <w:rPr>
          <w:rFonts w:ascii="Verdana"/>
          <w:w w:val="124"/>
          <w:u w:val="single"/>
        </w:rPr>
        <w:t>c</w:t>
      </w:r>
      <w:r>
        <w:rPr>
          <w:rFonts w:ascii="Verdana"/>
          <w:w w:val="109"/>
          <w:u w:val="single"/>
        </w:rPr>
        <w:t>e</w:t>
      </w:r>
      <w:r>
        <w:rPr>
          <w:rFonts w:ascii="Verdana"/>
          <w:spacing w:val="-18"/>
          <w:u w:val="single"/>
        </w:rPr>
        <w:t> </w:t>
      </w:r>
      <w:r>
        <w:rPr>
          <w:rFonts w:ascii="Verdana"/>
          <w:spacing w:val="-2"/>
          <w:w w:val="69"/>
          <w:u w:val="single"/>
        </w:rPr>
        <w:t>T</w:t>
      </w:r>
      <w:r>
        <w:rPr>
          <w:rFonts w:ascii="Verdana"/>
          <w:spacing w:val="-2"/>
          <w:w w:val="90"/>
          <w:u w:val="single"/>
        </w:rPr>
        <w:t>y</w:t>
      </w:r>
      <w:r>
        <w:rPr>
          <w:rFonts w:ascii="Verdana"/>
          <w:spacing w:val="-1"/>
          <w:w w:val="109"/>
          <w:u w:val="single"/>
        </w:rPr>
        <w:t>p</w:t>
      </w:r>
      <w:r>
        <w:rPr>
          <w:rFonts w:ascii="Verdana"/>
          <w:w w:val="109"/>
          <w:u w:val="single"/>
        </w:rPr>
        <w:t>e</w:t>
      </w:r>
      <w:r>
        <w:rPr>
          <w:rFonts w:ascii="Verdana"/>
          <w:spacing w:val="-21"/>
          <w:u w:val="single"/>
        </w:rPr>
        <w:t> </w:t>
      </w:r>
      <w:r>
        <w:rPr>
          <w:rFonts w:ascii="Verdana"/>
          <w:spacing w:val="2"/>
          <w:w w:val="53"/>
          <w:u w:val="single"/>
        </w:rPr>
        <w:t>I</w:t>
      </w:r>
      <w:r>
        <w:rPr>
          <w:rFonts w:ascii="Verdana"/>
          <w:spacing w:val="1"/>
          <w:w w:val="96"/>
          <w:u w:val="single"/>
        </w:rPr>
        <w:t>m</w:t>
      </w:r>
      <w:r>
        <w:rPr>
          <w:rFonts w:ascii="Verdana"/>
          <w:spacing w:val="-3"/>
          <w:w w:val="109"/>
          <w:u w:val="single"/>
        </w:rPr>
        <w:t>p</w:t>
      </w:r>
      <w:r>
        <w:rPr>
          <w:rFonts w:ascii="Verdana"/>
          <w:spacing w:val="1"/>
          <w:w w:val="72"/>
          <w:u w:val="single"/>
        </w:rPr>
        <w:t>l</w:t>
      </w:r>
      <w:r>
        <w:rPr>
          <w:rFonts w:ascii="Verdana"/>
          <w:spacing w:val="-3"/>
          <w:w w:val="109"/>
          <w:u w:val="single"/>
        </w:rPr>
        <w:t>e</w:t>
      </w:r>
      <w:r>
        <w:rPr>
          <w:rFonts w:ascii="Verdana"/>
          <w:w w:val="101"/>
          <w:u w:val="single"/>
        </w:rPr>
        <w:t>m</w:t>
      </w:r>
      <w:r>
        <w:rPr>
          <w:rFonts w:ascii="Verdana"/>
          <w:spacing w:val="-2"/>
          <w:w w:val="101"/>
          <w:u w:val="single"/>
        </w:rPr>
        <w:t>e</w:t>
      </w:r>
      <w:r>
        <w:rPr>
          <w:rFonts w:ascii="Verdana"/>
          <w:spacing w:val="1"/>
          <w:w w:val="96"/>
          <w:u w:val="single"/>
        </w:rPr>
        <w:t>n</w:t>
      </w:r>
      <w:r>
        <w:rPr>
          <w:rFonts w:ascii="Verdana"/>
          <w:spacing w:val="-5"/>
          <w:w w:val="85"/>
          <w:u w:val="single"/>
        </w:rPr>
        <w:t>t</w:t>
      </w:r>
      <w:r>
        <w:rPr>
          <w:rFonts w:ascii="Verdana"/>
          <w:spacing w:val="0"/>
          <w:w w:val="113"/>
          <w:u w:val="single"/>
        </w:rPr>
        <w:t>a</w:t>
      </w:r>
      <w:r>
        <w:rPr>
          <w:rFonts w:ascii="Verdana"/>
          <w:spacing w:val="-3"/>
          <w:w w:val="85"/>
          <w:u w:val="single"/>
        </w:rPr>
        <w:t>t</w:t>
      </w:r>
      <w:r>
        <w:rPr>
          <w:rFonts w:ascii="Verdana"/>
          <w:spacing w:val="1"/>
          <w:w w:val="72"/>
          <w:u w:val="single"/>
        </w:rPr>
        <w:t>i</w:t>
      </w:r>
      <w:r>
        <w:rPr>
          <w:rFonts w:ascii="Verdana"/>
          <w:spacing w:val="-2"/>
          <w:w w:val="107"/>
          <w:u w:val="single"/>
        </w:rPr>
        <w:t>o</w:t>
      </w:r>
      <w:r>
        <w:rPr>
          <w:rFonts w:ascii="Verdana"/>
          <w:w w:val="96"/>
          <w:u w:val="single"/>
        </w:rPr>
        <w:t>n</w:t>
      </w:r>
    </w:p>
    <w:p>
      <w:pPr>
        <w:pStyle w:val="BodyText"/>
        <w:spacing w:line="259" w:lineRule="auto" w:before="16"/>
        <w:ind w:right="117" w:firstLine="0"/>
        <w:jc w:val="both"/>
      </w:pPr>
      <w:r>
        <w:rPr/>
        <w:pict>
          <v:shape style="position:absolute;margin-left:90.066002pt;margin-top:46.213108pt;width:395.3pt;height:419pt;mso-position-horizontal-relative:page;mso-position-vertical-relative:paragraph;z-index:-10624" coordorigin="1801,924" coordsize="7906,8380" path="m4498,8188l4492,8115,4477,8037,4455,7954,4432,7885,4402,7812,4367,7737,4325,7659,4276,7579,4236,7520,4200,7469,4200,8155,4197,8211,4185,8268,4167,8325,4138,8385,4097,8448,4044,8514,3979,8583,3674,8889,2216,7431,2517,7130,2598,7054,2672,6994,2740,6951,2801,6924,2868,6909,2941,6905,3020,6912,3105,6930,3195,6959,3255,6985,3317,7017,3380,7056,3446,7101,3514,7152,3584,7211,3656,7275,3729,7347,3789,7408,3844,7468,3896,7527,3943,7585,3986,7642,4024,7697,4059,7751,4101,7826,4136,7898,4163,7967,4183,8034,4196,8098,4200,8155,4200,7469,4194,7460,4148,7400,4098,7340,4045,7279,3989,7217,3929,7155,3865,7093,3801,7035,3737,6980,3673,6928,3643,6905,3609,6880,3546,6836,3482,6795,3419,6757,3346,6719,3274,6687,3203,6659,3132,6637,3062,6620,2992,6608,2923,6601,2850,6600,2779,6606,2709,6621,2642,6644,2577,6674,2528,6703,2476,6740,2420,6785,2359,6840,2294,6902,1801,7395,3710,9303,4124,8889,4226,8787,4287,8722,4341,8656,4386,8591,4424,8524,4454,8457,4476,8391,4491,8324,4498,8257,4498,8188m6418,6595l6056,6467,5650,6324,5561,6295,5475,6271,5393,6252,5364,6247,5314,6238,5239,6228,5193,6226,5143,6229,5089,6236,5030,6247,5074,6177,5109,6108,5136,6039,5154,5970,5164,5901,5165,5833,5157,5765,5139,5687,5111,5611,5075,5536,5030,5464,4976,5393,4956,5370,4913,5324,4872,5286,4872,5843,4868,5899,4854,5954,4830,6010,4794,6069,4747,6130,4687,6194,4413,6467,4280,6601,3649,5969,4102,5516,4166,5459,4229,5416,4293,5387,4358,5371,4422,5370,4501,5386,4577,5415,4649,5460,4718,5520,4761,5567,4797,5618,4827,5672,4851,5728,4867,5786,4872,5843,4872,5286,4849,5265,4782,5212,4713,5167,4641,5128,4566,5096,4474,5068,4386,5055,4303,5057,4225,5073,4163,5098,4098,5135,4030,5183,3958,5242,3883,5313,3248,5948,5157,7856,5346,7667,4499,6819,4718,6601,4753,6566,4783,6539,4810,6518,4833,6503,4863,6490,4896,6479,4932,6471,4971,6467,5014,6467,5066,6472,5125,6483,5194,6499,5256,6517,5328,6537,5407,6562,5496,6592,6180,6833,6418,6595m7780,5233l7415,5037,6555,4583,6555,4890,6070,5376,5989,5233,5748,4802,5708,4730,5668,4659,5629,4593,5590,4528,5550,4465,5509,4401,5467,4339,5424,4278,5380,4217,5436,4253,5498,4291,5564,4331,5635,4373,5792,4463,6555,4890,6555,4583,5862,4217,5286,3910,5082,4114,5277,4465,5316,4535,5701,5233,6168,6081,6441,6572,6642,6371,6565,6238,6298,5769,6221,5636,6481,5376,6820,5037,7565,5448,7780,5233m8131,4882l7264,4015,7489,3790,7936,3343,7711,3118,7039,3790,6448,3199,7224,2423,6999,2198,6033,3163,7941,5071,8131,4882m9707,3306l8213,1812,8024,1623,8497,1149,8272,924,7138,2059,7363,2284,7834,1812,9517,3495,9707,3306e" filled="true" fillcolor="#c0c0c0" stroked="false">
            <v:path arrowok="t"/>
            <v:fill opacity="32896f" type="solid"/>
            <w10:wrap type="none"/>
          </v:shape>
        </w:pict>
      </w:r>
      <w:r>
        <w:rPr/>
        <w:t>Place Types are not meant to directly parallel use-based zoning districts; they are simply a direct way of connecting the day-to-day experiences and preferences of the community with the more specialized and technical world of land use planning. The </w:t>
      </w:r>
      <w:r>
        <w:rPr>
          <w:i/>
        </w:rPr>
        <w:t>Loudoun 2040 General Plan</w:t>
      </w:r>
      <w:r>
        <w:rPr/>
        <w:t>’s Place Types are:</w:t>
      </w:r>
    </w:p>
    <w:p>
      <w:pPr>
        <w:pStyle w:val="ListParagraph"/>
        <w:numPr>
          <w:ilvl w:val="0"/>
          <w:numId w:val="3"/>
        </w:numPr>
        <w:tabs>
          <w:tab w:pos="821" w:val="left" w:leader="none"/>
        </w:tabs>
        <w:spacing w:line="240" w:lineRule="auto" w:before="159" w:after="0"/>
        <w:ind w:left="820" w:right="0" w:hanging="360"/>
        <w:jc w:val="left"/>
        <w:rPr>
          <w:sz w:val="24"/>
        </w:rPr>
      </w:pPr>
      <w:r>
        <w:rPr>
          <w:sz w:val="24"/>
        </w:rPr>
        <w:t>Used</w:t>
      </w:r>
      <w:r>
        <w:rPr>
          <w:spacing w:val="-5"/>
          <w:sz w:val="24"/>
        </w:rPr>
        <w:t> </w:t>
      </w:r>
      <w:r>
        <w:rPr>
          <w:sz w:val="24"/>
        </w:rPr>
        <w:t>to</w:t>
      </w:r>
      <w:r>
        <w:rPr>
          <w:spacing w:val="-4"/>
          <w:sz w:val="24"/>
        </w:rPr>
        <w:t> </w:t>
      </w:r>
      <w:r>
        <w:rPr>
          <w:sz w:val="24"/>
        </w:rPr>
        <w:t>describe</w:t>
      </w:r>
      <w:r>
        <w:rPr>
          <w:spacing w:val="-6"/>
          <w:sz w:val="24"/>
        </w:rPr>
        <w:t> </w:t>
      </w:r>
      <w:r>
        <w:rPr>
          <w:sz w:val="24"/>
        </w:rPr>
        <w:t>the</w:t>
      </w:r>
      <w:r>
        <w:rPr>
          <w:spacing w:val="-5"/>
          <w:sz w:val="24"/>
        </w:rPr>
        <w:t> </w:t>
      </w:r>
      <w:r>
        <w:rPr>
          <w:sz w:val="24"/>
        </w:rPr>
        <w:t>desired</w:t>
      </w:r>
      <w:r>
        <w:rPr>
          <w:spacing w:val="-5"/>
          <w:sz w:val="24"/>
        </w:rPr>
        <w:t> </w:t>
      </w:r>
      <w:r>
        <w:rPr>
          <w:sz w:val="24"/>
        </w:rPr>
        <w:t>future</w:t>
      </w:r>
      <w:r>
        <w:rPr>
          <w:spacing w:val="-5"/>
          <w:sz w:val="24"/>
        </w:rPr>
        <w:t> </w:t>
      </w:r>
      <w:r>
        <w:rPr>
          <w:sz w:val="24"/>
        </w:rPr>
        <w:t>condition</w:t>
      </w:r>
      <w:r>
        <w:rPr>
          <w:spacing w:val="-4"/>
          <w:sz w:val="24"/>
        </w:rPr>
        <w:t> </w:t>
      </w:r>
      <w:r>
        <w:rPr>
          <w:sz w:val="24"/>
        </w:rPr>
        <w:t>and</w:t>
      </w:r>
      <w:r>
        <w:rPr>
          <w:spacing w:val="-5"/>
          <w:sz w:val="24"/>
        </w:rPr>
        <w:t> </w:t>
      </w:r>
      <w:r>
        <w:rPr>
          <w:sz w:val="24"/>
        </w:rPr>
        <w:t>environment</w:t>
      </w:r>
      <w:r>
        <w:rPr>
          <w:spacing w:val="-4"/>
          <w:sz w:val="24"/>
        </w:rPr>
        <w:t> </w:t>
      </w:r>
      <w:r>
        <w:rPr>
          <w:sz w:val="24"/>
        </w:rPr>
        <w:t>of</w:t>
      </w:r>
      <w:r>
        <w:rPr>
          <w:spacing w:val="-6"/>
          <w:sz w:val="24"/>
        </w:rPr>
        <w:t> </w:t>
      </w:r>
      <w:r>
        <w:rPr>
          <w:sz w:val="24"/>
        </w:rPr>
        <w:t>our</w:t>
      </w:r>
      <w:r>
        <w:rPr>
          <w:spacing w:val="-6"/>
          <w:sz w:val="24"/>
        </w:rPr>
        <w:t> </w:t>
      </w:r>
      <w:r>
        <w:rPr>
          <w:sz w:val="24"/>
        </w:rPr>
        <w:t>community’s</w:t>
      </w:r>
      <w:r>
        <w:rPr>
          <w:spacing w:val="-5"/>
          <w:sz w:val="24"/>
        </w:rPr>
        <w:t> </w:t>
      </w:r>
      <w:r>
        <w:rPr>
          <w:sz w:val="24"/>
        </w:rPr>
        <w:t>places;</w:t>
      </w:r>
    </w:p>
    <w:p>
      <w:pPr>
        <w:pStyle w:val="ListParagraph"/>
        <w:numPr>
          <w:ilvl w:val="0"/>
          <w:numId w:val="3"/>
        </w:numPr>
        <w:tabs>
          <w:tab w:pos="821" w:val="left" w:leader="none"/>
        </w:tabs>
        <w:spacing w:line="240" w:lineRule="auto" w:before="24" w:after="0"/>
        <w:ind w:left="820" w:right="0" w:hanging="360"/>
        <w:jc w:val="left"/>
        <w:rPr>
          <w:sz w:val="24"/>
        </w:rPr>
      </w:pPr>
      <w:r>
        <w:rPr>
          <w:sz w:val="24"/>
        </w:rPr>
        <w:t>Mapped similarly to a traditional future land use map and used to determine change;</w:t>
      </w:r>
      <w:r>
        <w:rPr>
          <w:spacing w:val="-12"/>
          <w:sz w:val="24"/>
        </w:rPr>
        <w:t> </w:t>
      </w:r>
      <w:r>
        <w:rPr>
          <w:sz w:val="24"/>
        </w:rPr>
        <w:t>and</w:t>
      </w:r>
    </w:p>
    <w:p>
      <w:pPr>
        <w:pStyle w:val="ListParagraph"/>
        <w:numPr>
          <w:ilvl w:val="0"/>
          <w:numId w:val="3"/>
        </w:numPr>
        <w:tabs>
          <w:tab w:pos="821" w:val="left" w:leader="none"/>
        </w:tabs>
        <w:spacing w:line="259" w:lineRule="auto" w:before="21" w:after="0"/>
        <w:ind w:left="820" w:right="123" w:hanging="360"/>
        <w:jc w:val="both"/>
        <w:rPr>
          <w:sz w:val="24"/>
        </w:rPr>
      </w:pPr>
      <w:r>
        <w:rPr>
          <w:sz w:val="24"/>
        </w:rPr>
        <w:t>Linked to a future comprehensive Zoning Ordinance revision, which will create a new set of zoning districts and enhanced development standards that better align with the desired character of</w:t>
      </w:r>
      <w:r>
        <w:rPr>
          <w:spacing w:val="-3"/>
          <w:sz w:val="24"/>
        </w:rPr>
        <w:t> </w:t>
      </w:r>
      <w:r>
        <w:rPr>
          <w:sz w:val="24"/>
        </w:rPr>
        <w:t>place.</w:t>
      </w:r>
    </w:p>
    <w:p>
      <w:pPr>
        <w:spacing w:after="0" w:line="259" w:lineRule="auto"/>
        <w:jc w:val="both"/>
        <w:rPr>
          <w:sz w:val="24"/>
        </w:rPr>
        <w:sectPr>
          <w:pgSz w:w="12240" w:h="15840"/>
          <w:pgMar w:header="719" w:footer="540" w:top="1300" w:bottom="740" w:left="1340" w:right="1320"/>
        </w:sectPr>
      </w:pPr>
    </w:p>
    <w:p>
      <w:pPr>
        <w:pStyle w:val="BodyText"/>
        <w:spacing w:before="9"/>
        <w:ind w:left="0" w:firstLine="0"/>
        <w:rPr>
          <w:sz w:val="22"/>
        </w:rPr>
      </w:pPr>
    </w:p>
    <w:p>
      <w:pPr>
        <w:pStyle w:val="Heading2"/>
      </w:pPr>
      <w:bookmarkStart w:name="_TOC_250001" w:id="1"/>
      <w:bookmarkEnd w:id="1"/>
      <w:r>
        <w:rPr>
          <w:color w:val="1B577B"/>
        </w:rPr>
        <w:t>Quality Development</w:t>
      </w:r>
    </w:p>
    <w:p>
      <w:pPr>
        <w:pStyle w:val="Heading3"/>
        <w:spacing w:before="96"/>
      </w:pPr>
      <w:r>
        <w:rPr>
          <w:w w:val="90"/>
        </w:rPr>
        <w:t>Introduction</w:t>
      </w:r>
    </w:p>
    <w:p>
      <w:pPr>
        <w:pStyle w:val="BodyText"/>
        <w:spacing w:line="259" w:lineRule="auto" w:before="25"/>
        <w:ind w:right="119" w:firstLine="0"/>
        <w:jc w:val="both"/>
      </w:pPr>
      <w:r>
        <w:rPr/>
        <w:pict>
          <v:shape style="position:absolute;margin-left:90.066002pt;margin-top:49.063072pt;width:395.3pt;height:419pt;mso-position-horizontal-relative:page;mso-position-vertical-relative:paragraph;z-index:-10600" coordorigin="1801,981" coordsize="7906,8380" path="m4498,8245l4492,8172,4477,8094,4455,8011,4432,7942,4402,7869,4367,7794,4325,7716,4276,7636,4236,7577,4200,7526,4200,8212,4197,8268,4185,8325,4167,8382,4138,8442,4097,8505,4044,8571,3979,8640,3674,8946,2216,7488,2517,7187,2598,7111,2672,7051,2740,7008,2801,6981,2868,6966,2941,6962,3020,6969,3105,6987,3195,7016,3255,7042,3317,7074,3380,7113,3446,7158,3514,7209,3584,7268,3656,7332,3729,7404,3789,7465,3844,7525,3896,7584,3943,7642,3986,7699,4024,7754,4059,7808,4101,7883,4136,7955,4163,8024,4183,8091,4196,8155,4200,8212,4200,7526,4194,7517,4148,7457,4098,7397,4045,7336,3989,7274,3929,7212,3865,7150,3801,7092,3737,7037,3673,6985,3643,6962,3609,6937,3546,6893,3482,6852,3419,6814,3346,6776,3274,6744,3203,6716,3132,6694,3062,6677,2992,6665,2923,6658,2850,6657,2779,6663,2709,6678,2642,6701,2577,6731,2528,6760,2476,6797,2420,6842,2359,6897,2294,6959,1801,7452,3710,9360,4124,8946,4226,8844,4287,8779,4341,8713,4386,8648,4424,8581,4454,8514,4476,8448,4491,8381,4498,8314,4498,8245m6418,6652l6056,6524,5650,6381,5561,6352,5475,6328,5393,6309,5364,6304,5314,6295,5239,6285,5193,6283,5143,6286,5089,6293,5030,6304,5074,6234,5109,6165,5136,6096,5154,6027,5164,5958,5165,5890,5157,5822,5139,5744,5111,5668,5075,5593,5030,5521,4976,5450,4956,5427,4913,5381,4872,5343,4872,5900,4868,5956,4854,6011,4830,6067,4794,6126,4747,6187,4687,6251,4413,6524,4280,6658,3649,6026,4102,5573,4166,5516,4229,5473,4293,5444,4358,5428,4422,5427,4501,5443,4577,5472,4649,5517,4718,5577,4761,5624,4797,5675,4827,5729,4851,5785,4867,5843,4872,5900,4872,5343,4849,5322,4782,5269,4713,5224,4641,5185,4566,5153,4474,5125,4386,5112,4303,5114,4225,5130,4163,5155,4098,5192,4030,5240,3958,5299,3883,5370,3248,6005,5157,7913,5346,7724,4499,6876,4718,6658,4753,6623,4783,6596,4810,6575,4833,6560,4863,6547,4896,6536,4932,6528,4971,6524,5014,6524,5066,6529,5125,6540,5194,6556,5256,6574,5328,6594,5407,6619,5496,6649,6180,6890,6418,6652m7780,5290l7415,5094,6555,4640,6555,4947,6070,5433,5989,5290,5748,4859,5708,4787,5668,4716,5629,4650,5590,4585,5550,4522,5509,4458,5467,4396,5424,4335,5380,4274,5436,4310,5498,4348,5564,4388,5635,4430,5792,4520,6555,4947,6555,4640,5862,4274,5286,3967,5082,4171,5277,4522,5316,4592,5701,5290,6168,6138,6441,6629,6642,6428,6565,6295,6298,5826,6221,5693,6481,5433,6820,5094,7565,5505,7780,5290m8131,4939l7264,4072,7489,3847,7936,3400,7711,3175,7039,3847,6448,3256,7224,2480,6999,2255,6033,3220,7941,5128,8131,4939m9707,3363l8213,1869,8024,1680,8497,1206,8272,981,7138,2116,7363,2341,7834,1869,9517,3552,9707,3363e" filled="true" fillcolor="#c0c0c0" stroked="false">
            <v:path arrowok="t"/>
            <v:fill opacity="32896f" type="solid"/>
            <w10:wrap type="none"/>
          </v:shape>
        </w:pict>
      </w:r>
      <w:r>
        <w:rPr/>
        <w:t>Loudoun County has consistently focused on promoting a high quality of life for its residents by establishing</w:t>
      </w:r>
      <w:r>
        <w:rPr>
          <w:spacing w:val="-15"/>
        </w:rPr>
        <w:t> </w:t>
      </w:r>
      <w:r>
        <w:rPr/>
        <w:t>standards</w:t>
      </w:r>
      <w:r>
        <w:rPr>
          <w:spacing w:val="-14"/>
        </w:rPr>
        <w:t> </w:t>
      </w:r>
      <w:r>
        <w:rPr/>
        <w:t>that</w:t>
      </w:r>
      <w:r>
        <w:rPr>
          <w:spacing w:val="-13"/>
        </w:rPr>
        <w:t> </w:t>
      </w:r>
      <w:r>
        <w:rPr/>
        <w:t>encourage</w:t>
      </w:r>
      <w:r>
        <w:rPr>
          <w:spacing w:val="-14"/>
        </w:rPr>
        <w:t> </w:t>
      </w:r>
      <w:r>
        <w:rPr/>
        <w:t>high-quality</w:t>
      </w:r>
      <w:r>
        <w:rPr>
          <w:spacing w:val="-13"/>
        </w:rPr>
        <w:t> </w:t>
      </w:r>
      <w:r>
        <w:rPr/>
        <w:t>developments.</w:t>
      </w:r>
      <w:r>
        <w:rPr>
          <w:spacing w:val="-13"/>
        </w:rPr>
        <w:t> </w:t>
      </w:r>
      <w:r>
        <w:rPr/>
        <w:t>Quality</w:t>
      </w:r>
      <w:r>
        <w:rPr>
          <w:spacing w:val="-18"/>
        </w:rPr>
        <w:t> </w:t>
      </w:r>
      <w:r>
        <w:rPr/>
        <w:t>Development</w:t>
      </w:r>
      <w:r>
        <w:rPr>
          <w:spacing w:val="-13"/>
        </w:rPr>
        <w:t> </w:t>
      </w:r>
      <w:r>
        <w:rPr/>
        <w:t>is</w:t>
      </w:r>
      <w:r>
        <w:rPr>
          <w:spacing w:val="-13"/>
        </w:rPr>
        <w:t> </w:t>
      </w:r>
      <w:r>
        <w:rPr/>
        <w:t>the</w:t>
      </w:r>
      <w:r>
        <w:rPr>
          <w:spacing w:val="-12"/>
        </w:rPr>
        <w:t> </w:t>
      </w:r>
      <w:r>
        <w:rPr/>
        <w:t>term that the </w:t>
      </w:r>
      <w:r>
        <w:rPr>
          <w:i/>
        </w:rPr>
        <w:t>Loudoun 2040 General Plan </w:t>
      </w:r>
      <w:r>
        <w:rPr/>
        <w:t>will use to refer to a broad area of topics that are related to the desired visual and physical qualities of new development. These qualities</w:t>
      </w:r>
      <w:r>
        <w:rPr>
          <w:spacing w:val="-6"/>
        </w:rPr>
        <w:t> </w:t>
      </w:r>
      <w:r>
        <w:rPr/>
        <w:t>include:</w:t>
      </w:r>
    </w:p>
    <w:p>
      <w:pPr>
        <w:pStyle w:val="ListParagraph"/>
        <w:numPr>
          <w:ilvl w:val="0"/>
          <w:numId w:val="2"/>
        </w:numPr>
        <w:tabs>
          <w:tab w:pos="880" w:val="left" w:leader="none"/>
          <w:tab w:pos="881" w:val="left" w:leader="none"/>
        </w:tabs>
        <w:spacing w:line="240" w:lineRule="auto" w:before="159" w:after="0"/>
        <w:ind w:left="880" w:right="0" w:hanging="360"/>
        <w:jc w:val="left"/>
        <w:rPr>
          <w:sz w:val="24"/>
        </w:rPr>
      </w:pPr>
      <w:r>
        <w:rPr>
          <w:sz w:val="24"/>
        </w:rPr>
        <w:t>Sensitive integration of the natural and built</w:t>
      </w:r>
      <w:r>
        <w:rPr>
          <w:spacing w:val="-3"/>
          <w:sz w:val="24"/>
        </w:rPr>
        <w:t> </w:t>
      </w:r>
      <w:r>
        <w:rPr>
          <w:sz w:val="24"/>
        </w:rPr>
        <w:t>environments,</w:t>
      </w:r>
    </w:p>
    <w:p>
      <w:pPr>
        <w:pStyle w:val="ListParagraph"/>
        <w:numPr>
          <w:ilvl w:val="0"/>
          <w:numId w:val="2"/>
        </w:numPr>
        <w:tabs>
          <w:tab w:pos="880" w:val="left" w:leader="none"/>
          <w:tab w:pos="881" w:val="left" w:leader="none"/>
        </w:tabs>
        <w:spacing w:line="240" w:lineRule="auto" w:before="20" w:after="0"/>
        <w:ind w:left="880" w:right="0" w:hanging="360"/>
        <w:jc w:val="left"/>
        <w:rPr>
          <w:sz w:val="24"/>
        </w:rPr>
      </w:pPr>
      <w:r>
        <w:rPr>
          <w:sz w:val="24"/>
        </w:rPr>
        <w:t>Context-sensitive site and building design between adjacent developments and land</w:t>
      </w:r>
      <w:r>
        <w:rPr>
          <w:spacing w:val="-8"/>
          <w:sz w:val="24"/>
        </w:rPr>
        <w:t> </w:t>
      </w:r>
      <w:r>
        <w:rPr>
          <w:sz w:val="24"/>
        </w:rPr>
        <w:t>uses,</w:t>
      </w:r>
    </w:p>
    <w:p>
      <w:pPr>
        <w:pStyle w:val="ListParagraph"/>
        <w:numPr>
          <w:ilvl w:val="0"/>
          <w:numId w:val="2"/>
        </w:numPr>
        <w:tabs>
          <w:tab w:pos="880" w:val="left" w:leader="none"/>
          <w:tab w:pos="881" w:val="left" w:leader="none"/>
        </w:tabs>
        <w:spacing w:line="240" w:lineRule="auto" w:before="21" w:after="0"/>
        <w:ind w:left="880" w:right="0" w:hanging="360"/>
        <w:jc w:val="left"/>
        <w:rPr>
          <w:sz w:val="24"/>
        </w:rPr>
      </w:pPr>
      <w:r>
        <w:rPr>
          <w:sz w:val="24"/>
        </w:rPr>
        <w:t>Architecture that promotes visual appeal and</w:t>
      </w:r>
      <w:r>
        <w:rPr>
          <w:spacing w:val="1"/>
          <w:sz w:val="24"/>
        </w:rPr>
        <w:t> </w:t>
      </w:r>
      <w:r>
        <w:rPr>
          <w:sz w:val="24"/>
        </w:rPr>
        <w:t>interest,</w:t>
      </w:r>
    </w:p>
    <w:p>
      <w:pPr>
        <w:pStyle w:val="ListParagraph"/>
        <w:numPr>
          <w:ilvl w:val="0"/>
          <w:numId w:val="2"/>
        </w:numPr>
        <w:tabs>
          <w:tab w:pos="880" w:val="left" w:leader="none"/>
          <w:tab w:pos="881" w:val="left" w:leader="none"/>
        </w:tabs>
        <w:spacing w:line="240" w:lineRule="auto" w:before="23" w:after="0"/>
        <w:ind w:left="880" w:right="0" w:hanging="360"/>
        <w:jc w:val="left"/>
        <w:rPr>
          <w:sz w:val="24"/>
        </w:rPr>
      </w:pPr>
      <w:r>
        <w:rPr>
          <w:sz w:val="24"/>
        </w:rPr>
        <w:t>Sustainable energy</w:t>
      </w:r>
      <w:r>
        <w:rPr>
          <w:spacing w:val="-6"/>
          <w:sz w:val="24"/>
        </w:rPr>
        <w:t> </w:t>
      </w:r>
      <w:r>
        <w:rPr>
          <w:sz w:val="24"/>
        </w:rPr>
        <w:t>technology,</w:t>
      </w:r>
    </w:p>
    <w:p>
      <w:pPr>
        <w:pStyle w:val="ListParagraph"/>
        <w:numPr>
          <w:ilvl w:val="0"/>
          <w:numId w:val="2"/>
        </w:numPr>
        <w:tabs>
          <w:tab w:pos="880" w:val="left" w:leader="none"/>
          <w:tab w:pos="881" w:val="left" w:leader="none"/>
        </w:tabs>
        <w:spacing w:line="256" w:lineRule="auto" w:before="20" w:after="0"/>
        <w:ind w:left="880" w:right="120" w:hanging="360"/>
        <w:jc w:val="left"/>
        <w:rPr>
          <w:sz w:val="24"/>
        </w:rPr>
      </w:pPr>
      <w:r>
        <w:rPr>
          <w:sz w:val="24"/>
        </w:rPr>
        <w:t>Pedestrian and bike-friendly environments that promote activity and connectivity in spaces between buildings and developments,</w:t>
      </w:r>
      <w:r>
        <w:rPr>
          <w:spacing w:val="-1"/>
          <w:sz w:val="24"/>
        </w:rPr>
        <w:t> </w:t>
      </w:r>
      <w:r>
        <w:rPr>
          <w:sz w:val="24"/>
        </w:rPr>
        <w:t>and</w:t>
      </w:r>
    </w:p>
    <w:p>
      <w:pPr>
        <w:pStyle w:val="ListParagraph"/>
        <w:numPr>
          <w:ilvl w:val="0"/>
          <w:numId w:val="2"/>
        </w:numPr>
        <w:tabs>
          <w:tab w:pos="880" w:val="left" w:leader="none"/>
          <w:tab w:pos="881" w:val="left" w:leader="none"/>
        </w:tabs>
        <w:spacing w:line="294" w:lineRule="exact" w:before="0" w:after="0"/>
        <w:ind w:left="880" w:right="0" w:hanging="360"/>
        <w:jc w:val="left"/>
        <w:rPr>
          <w:sz w:val="24"/>
        </w:rPr>
      </w:pPr>
      <w:r>
        <w:rPr>
          <w:sz w:val="24"/>
        </w:rPr>
        <w:t>Accessible and connected parks and open spaces.</w:t>
      </w:r>
    </w:p>
    <w:p>
      <w:pPr>
        <w:pStyle w:val="BodyText"/>
        <w:spacing w:line="259" w:lineRule="auto" w:before="184"/>
        <w:ind w:right="117" w:firstLine="0"/>
        <w:jc w:val="both"/>
      </w:pPr>
      <w:r>
        <w:rPr/>
        <w:t>The use of high-quality design, siting, landscaping, architecture, signage, sustainability, and</w:t>
      </w:r>
      <w:r>
        <w:rPr>
          <w:spacing w:val="-41"/>
        </w:rPr>
        <w:t> </w:t>
      </w:r>
      <w:r>
        <w:rPr/>
        <w:t>other design elements can help create communities with distinctive identities that create lasting impressions on residents and visitors. Loudoun County encourages compact patterns with an emphasis on high-quality design, walkability, and public spaces that can be integrated into the evolution of existing places and in the design of new developments. These basic elements are integral components to the concept of Quality</w:t>
      </w:r>
      <w:r>
        <w:rPr>
          <w:spacing w:val="-6"/>
        </w:rPr>
        <w:t> </w:t>
      </w:r>
      <w:r>
        <w:rPr/>
        <w:t>Development.</w:t>
      </w:r>
    </w:p>
    <w:p>
      <w:pPr>
        <w:pStyle w:val="BodyText"/>
        <w:spacing w:line="259" w:lineRule="auto" w:before="159"/>
        <w:ind w:right="113" w:firstLine="0"/>
        <w:jc w:val="both"/>
      </w:pPr>
      <w:r>
        <w:rPr/>
        <w:t>Quality Development is a complex topic that touches upon many aspects of daily life. It helps define where and how we live, work, and play. The vision for the </w:t>
      </w:r>
      <w:r>
        <w:rPr>
          <w:i/>
        </w:rPr>
        <w:t>Loudoun 2040 General Plan </w:t>
      </w:r>
      <w:r>
        <w:rPr/>
        <w:t>identifies quality of life as a key piece of Loudoun County’s future. The County has consistently focused</w:t>
      </w:r>
      <w:r>
        <w:rPr>
          <w:spacing w:val="-4"/>
        </w:rPr>
        <w:t> </w:t>
      </w:r>
      <w:r>
        <w:rPr/>
        <w:t>on</w:t>
      </w:r>
      <w:r>
        <w:rPr>
          <w:spacing w:val="-4"/>
        </w:rPr>
        <w:t> </w:t>
      </w:r>
      <w:r>
        <w:rPr/>
        <w:t>promoting</w:t>
      </w:r>
      <w:r>
        <w:rPr>
          <w:spacing w:val="-6"/>
        </w:rPr>
        <w:t> </w:t>
      </w:r>
      <w:r>
        <w:rPr/>
        <w:t>a</w:t>
      </w:r>
      <w:r>
        <w:rPr>
          <w:spacing w:val="-2"/>
        </w:rPr>
        <w:t> </w:t>
      </w:r>
      <w:r>
        <w:rPr/>
        <w:t>complementary</w:t>
      </w:r>
      <w:r>
        <w:rPr>
          <w:spacing w:val="-10"/>
        </w:rPr>
        <w:t> </w:t>
      </w:r>
      <w:r>
        <w:rPr/>
        <w:t>mix</w:t>
      </w:r>
      <w:r>
        <w:rPr>
          <w:spacing w:val="-2"/>
        </w:rPr>
        <w:t> </w:t>
      </w:r>
      <w:r>
        <w:rPr/>
        <w:t>of</w:t>
      </w:r>
      <w:r>
        <w:rPr>
          <w:spacing w:val="-4"/>
        </w:rPr>
        <w:t> </w:t>
      </w:r>
      <w:r>
        <w:rPr/>
        <w:t>land</w:t>
      </w:r>
      <w:r>
        <w:rPr>
          <w:spacing w:val="-4"/>
        </w:rPr>
        <w:t> </w:t>
      </w:r>
      <w:r>
        <w:rPr/>
        <w:t>uses</w:t>
      </w:r>
      <w:r>
        <w:rPr>
          <w:spacing w:val="-4"/>
        </w:rPr>
        <w:t> </w:t>
      </w:r>
      <w:r>
        <w:rPr/>
        <w:t>and</w:t>
      </w:r>
      <w:r>
        <w:rPr>
          <w:spacing w:val="-4"/>
        </w:rPr>
        <w:t> </w:t>
      </w:r>
      <w:r>
        <w:rPr/>
        <w:t>project</w:t>
      </w:r>
      <w:r>
        <w:rPr>
          <w:spacing w:val="-3"/>
        </w:rPr>
        <w:t> </w:t>
      </w:r>
      <w:r>
        <w:rPr/>
        <w:t>designs</w:t>
      </w:r>
      <w:r>
        <w:rPr>
          <w:spacing w:val="-4"/>
        </w:rPr>
        <w:t> </w:t>
      </w:r>
      <w:r>
        <w:rPr/>
        <w:t>that</w:t>
      </w:r>
      <w:r>
        <w:rPr>
          <w:spacing w:val="-4"/>
        </w:rPr>
        <w:t> </w:t>
      </w:r>
      <w:r>
        <w:rPr/>
        <w:t>ensure</w:t>
      </w:r>
      <w:r>
        <w:rPr>
          <w:spacing w:val="-5"/>
        </w:rPr>
        <w:t> </w:t>
      </w:r>
      <w:r>
        <w:rPr/>
        <w:t>the</w:t>
      </w:r>
      <w:r>
        <w:rPr>
          <w:spacing w:val="-4"/>
        </w:rPr>
        <w:t> </w:t>
      </w:r>
      <w:r>
        <w:rPr/>
        <w:t>long- term</w:t>
      </w:r>
      <w:r>
        <w:rPr>
          <w:spacing w:val="-13"/>
        </w:rPr>
        <w:t> </w:t>
      </w:r>
      <w:r>
        <w:rPr/>
        <w:t>sustainability,</w:t>
      </w:r>
      <w:r>
        <w:rPr>
          <w:spacing w:val="-11"/>
        </w:rPr>
        <w:t> </w:t>
      </w:r>
      <w:r>
        <w:rPr/>
        <w:t>or</w:t>
      </w:r>
      <w:r>
        <w:rPr>
          <w:spacing w:val="-12"/>
        </w:rPr>
        <w:t> </w:t>
      </w:r>
      <w:r>
        <w:rPr/>
        <w:t>environmental</w:t>
      </w:r>
      <w:r>
        <w:rPr>
          <w:spacing w:val="-13"/>
        </w:rPr>
        <w:t> </w:t>
      </w:r>
      <w:r>
        <w:rPr/>
        <w:t>and</w:t>
      </w:r>
      <w:r>
        <w:rPr>
          <w:spacing w:val="-11"/>
        </w:rPr>
        <w:t> </w:t>
      </w:r>
      <w:r>
        <w:rPr/>
        <w:t>economic</w:t>
      </w:r>
      <w:r>
        <w:rPr>
          <w:spacing w:val="-14"/>
        </w:rPr>
        <w:t> </w:t>
      </w:r>
      <w:r>
        <w:rPr/>
        <w:t>health,</w:t>
      </w:r>
      <w:r>
        <w:rPr>
          <w:spacing w:val="-13"/>
        </w:rPr>
        <w:t> </w:t>
      </w:r>
      <w:r>
        <w:rPr/>
        <w:t>of</w:t>
      </w:r>
      <w:r>
        <w:rPr>
          <w:spacing w:val="-14"/>
        </w:rPr>
        <w:t> </w:t>
      </w:r>
      <w:r>
        <w:rPr/>
        <w:t>both</w:t>
      </w:r>
      <w:r>
        <w:rPr>
          <w:spacing w:val="-11"/>
        </w:rPr>
        <w:t> </w:t>
      </w:r>
      <w:r>
        <w:rPr/>
        <w:t>the</w:t>
      </w:r>
      <w:r>
        <w:rPr>
          <w:spacing w:val="-14"/>
        </w:rPr>
        <w:t> </w:t>
      </w:r>
      <w:r>
        <w:rPr/>
        <w:t>individual</w:t>
      </w:r>
      <w:r>
        <w:rPr>
          <w:spacing w:val="-13"/>
        </w:rPr>
        <w:t> </w:t>
      </w:r>
      <w:r>
        <w:rPr/>
        <w:t>development</w:t>
      </w:r>
      <w:r>
        <w:rPr>
          <w:spacing w:val="-11"/>
        </w:rPr>
        <w:t> </w:t>
      </w:r>
      <w:r>
        <w:rPr/>
        <w:t>and the</w:t>
      </w:r>
      <w:r>
        <w:rPr>
          <w:spacing w:val="-4"/>
        </w:rPr>
        <w:t> </w:t>
      </w:r>
      <w:r>
        <w:rPr/>
        <w:t>broader</w:t>
      </w:r>
      <w:r>
        <w:rPr>
          <w:spacing w:val="-5"/>
        </w:rPr>
        <w:t> </w:t>
      </w:r>
      <w:r>
        <w:rPr/>
        <w:t>community</w:t>
      </w:r>
      <w:r>
        <w:rPr>
          <w:spacing w:val="-5"/>
        </w:rPr>
        <w:t> </w:t>
      </w:r>
      <w:r>
        <w:rPr/>
        <w:t>which</w:t>
      </w:r>
      <w:r>
        <w:rPr>
          <w:spacing w:val="-4"/>
        </w:rPr>
        <w:t> </w:t>
      </w:r>
      <w:r>
        <w:rPr/>
        <w:t>is</w:t>
      </w:r>
      <w:r>
        <w:rPr>
          <w:spacing w:val="-3"/>
        </w:rPr>
        <w:t> </w:t>
      </w:r>
      <w:r>
        <w:rPr/>
        <w:t>evident</w:t>
      </w:r>
      <w:r>
        <w:rPr>
          <w:spacing w:val="-4"/>
        </w:rPr>
        <w:t> </w:t>
      </w:r>
      <w:r>
        <w:rPr/>
        <w:t>in</w:t>
      </w:r>
      <w:r>
        <w:rPr>
          <w:spacing w:val="-3"/>
        </w:rPr>
        <w:t> </w:t>
      </w:r>
      <w:r>
        <w:rPr/>
        <w:t>past</w:t>
      </w:r>
      <w:r>
        <w:rPr>
          <w:spacing w:val="-6"/>
        </w:rPr>
        <w:t> </w:t>
      </w:r>
      <w:r>
        <w:rPr/>
        <w:t>planning</w:t>
      </w:r>
      <w:r>
        <w:rPr>
          <w:spacing w:val="-6"/>
        </w:rPr>
        <w:t> </w:t>
      </w:r>
      <w:r>
        <w:rPr/>
        <w:t>efforts.</w:t>
      </w:r>
      <w:r>
        <w:rPr>
          <w:spacing w:val="-2"/>
        </w:rPr>
        <w:t> </w:t>
      </w:r>
      <w:r>
        <w:rPr/>
        <w:t>The</w:t>
      </w:r>
      <w:r>
        <w:rPr>
          <w:spacing w:val="-4"/>
        </w:rPr>
        <w:t> </w:t>
      </w:r>
      <w:r>
        <w:rPr>
          <w:i/>
        </w:rPr>
        <w:t>Strategic</w:t>
      </w:r>
      <w:r>
        <w:rPr>
          <w:i/>
          <w:spacing w:val="-4"/>
        </w:rPr>
        <w:t> </w:t>
      </w:r>
      <w:r>
        <w:rPr>
          <w:i/>
        </w:rPr>
        <w:t>Land</w:t>
      </w:r>
      <w:r>
        <w:rPr>
          <w:i/>
          <w:spacing w:val="-4"/>
        </w:rPr>
        <w:t> </w:t>
      </w:r>
      <w:r>
        <w:rPr>
          <w:i/>
        </w:rPr>
        <w:t>Use</w:t>
      </w:r>
      <w:r>
        <w:rPr>
          <w:i/>
          <w:spacing w:val="-5"/>
        </w:rPr>
        <w:t> </w:t>
      </w:r>
      <w:r>
        <w:rPr>
          <w:i/>
        </w:rPr>
        <w:t>Plan</w:t>
      </w:r>
      <w:r>
        <w:rPr>
          <w:i/>
          <w:spacing w:val="-4"/>
        </w:rPr>
        <w:t> </w:t>
      </w:r>
      <w:r>
        <w:rPr>
          <w:i/>
        </w:rPr>
        <w:t>for </w:t>
      </w:r>
      <w:r>
        <w:rPr>
          <w:i/>
        </w:rPr>
        <w:t>Telecommunication Facilities, Loudoun County Heritage Preservation Plan, </w:t>
      </w:r>
      <w:r>
        <w:rPr/>
        <w:t>and </w:t>
      </w:r>
      <w:r>
        <w:rPr>
          <w:i/>
        </w:rPr>
        <w:t>Route 50 </w:t>
      </w:r>
      <w:r>
        <w:rPr>
          <w:i/>
        </w:rPr>
        <w:t>Corridor Design Guidelines </w:t>
      </w:r>
      <w:r>
        <w:rPr/>
        <w:t>all provide guidance for Quality Development through design guidelines for large areas, specific uses, or concentrated areas in the County. To maintain and improve the quality of life in Loudoun County, this chapter presents countywide policies that</w:t>
      </w:r>
      <w:r>
        <w:rPr>
          <w:spacing w:val="-39"/>
        </w:rPr>
        <w:t> </w:t>
      </w:r>
      <w:r>
        <w:rPr/>
        <w:t>will allow the County to address future growth and change. More specific information on multimodal transportation,</w:t>
      </w:r>
      <w:r>
        <w:rPr>
          <w:spacing w:val="-10"/>
        </w:rPr>
        <w:t> </w:t>
      </w:r>
      <w:r>
        <w:rPr/>
        <w:t>complete</w:t>
      </w:r>
      <w:r>
        <w:rPr>
          <w:spacing w:val="-6"/>
        </w:rPr>
        <w:t> </w:t>
      </w:r>
      <w:r>
        <w:rPr/>
        <w:t>streets,</w:t>
      </w:r>
      <w:r>
        <w:rPr>
          <w:spacing w:val="-9"/>
        </w:rPr>
        <w:t> </w:t>
      </w:r>
      <w:r>
        <w:rPr/>
        <w:t>infill</w:t>
      </w:r>
      <w:r>
        <w:rPr>
          <w:spacing w:val="-9"/>
        </w:rPr>
        <w:t> </w:t>
      </w:r>
      <w:r>
        <w:rPr/>
        <w:t>development,</w:t>
      </w:r>
      <w:r>
        <w:rPr>
          <w:spacing w:val="-9"/>
        </w:rPr>
        <w:t> </w:t>
      </w:r>
      <w:r>
        <w:rPr/>
        <w:t>sustainability,</w:t>
      </w:r>
      <w:r>
        <w:rPr>
          <w:spacing w:val="-6"/>
        </w:rPr>
        <w:t> </w:t>
      </w:r>
      <w:r>
        <w:rPr/>
        <w:t>and</w:t>
      </w:r>
      <w:r>
        <w:rPr>
          <w:spacing w:val="-7"/>
        </w:rPr>
        <w:t> </w:t>
      </w:r>
      <w:r>
        <w:rPr/>
        <w:t>conservation</w:t>
      </w:r>
      <w:r>
        <w:rPr>
          <w:spacing w:val="-8"/>
        </w:rPr>
        <w:t> </w:t>
      </w:r>
      <w:r>
        <w:rPr/>
        <w:t>is</w:t>
      </w:r>
      <w:r>
        <w:rPr>
          <w:spacing w:val="-9"/>
        </w:rPr>
        <w:t> </w:t>
      </w:r>
      <w:r>
        <w:rPr/>
        <w:t>provided</w:t>
      </w:r>
      <w:r>
        <w:rPr>
          <w:spacing w:val="-8"/>
        </w:rPr>
        <w:t> </w:t>
      </w:r>
      <w:r>
        <w:rPr/>
        <w:t>in the </w:t>
      </w:r>
      <w:r>
        <w:rPr>
          <w:i/>
        </w:rPr>
        <w:t>Loudoun 2040 Countywide Transportation Plan</w:t>
      </w:r>
      <w:r>
        <w:rPr/>
        <w:t>, the Infill and Redevelopment section of this chapter, and the Natural and Heritage Resources chapter of this</w:t>
      </w:r>
      <w:r>
        <w:rPr>
          <w:spacing w:val="1"/>
        </w:rPr>
        <w:t> </w:t>
      </w:r>
      <w:r>
        <w:rPr/>
        <w:t>Plan.</w:t>
      </w:r>
    </w:p>
    <w:p>
      <w:pPr>
        <w:pStyle w:val="BodyText"/>
        <w:spacing w:line="259" w:lineRule="auto" w:before="157"/>
        <w:ind w:right="114" w:firstLine="0"/>
        <w:jc w:val="both"/>
      </w:pPr>
      <w:r>
        <w:rPr/>
        <w:t>The </w:t>
      </w:r>
      <w:r>
        <w:rPr>
          <w:i/>
        </w:rPr>
        <w:t>Loudoun 2040 General Plan </w:t>
      </w:r>
      <w:r>
        <w:rPr/>
        <w:t>streamlines its presentation of design concepts, providing specific</w:t>
      </w:r>
      <w:r>
        <w:rPr>
          <w:spacing w:val="-10"/>
        </w:rPr>
        <w:t> </w:t>
      </w:r>
      <w:r>
        <w:rPr/>
        <w:t>design</w:t>
      </w:r>
      <w:r>
        <w:rPr>
          <w:spacing w:val="-10"/>
        </w:rPr>
        <w:t> </w:t>
      </w:r>
      <w:r>
        <w:rPr/>
        <w:t>guidelines</w:t>
      </w:r>
      <w:r>
        <w:rPr>
          <w:spacing w:val="-9"/>
        </w:rPr>
        <w:t> </w:t>
      </w:r>
      <w:r>
        <w:rPr/>
        <w:t>for</w:t>
      </w:r>
      <w:r>
        <w:rPr>
          <w:spacing w:val="-11"/>
        </w:rPr>
        <w:t> </w:t>
      </w:r>
      <w:r>
        <w:rPr/>
        <w:t>each</w:t>
      </w:r>
      <w:r>
        <w:rPr>
          <w:spacing w:val="-10"/>
        </w:rPr>
        <w:t> </w:t>
      </w:r>
      <w:r>
        <w:rPr/>
        <w:t>Policy</w:t>
      </w:r>
      <w:r>
        <w:rPr>
          <w:spacing w:val="-14"/>
        </w:rPr>
        <w:t> </w:t>
      </w:r>
      <w:r>
        <w:rPr/>
        <w:t>Area</w:t>
      </w:r>
      <w:r>
        <w:rPr>
          <w:spacing w:val="-11"/>
        </w:rPr>
        <w:t> </w:t>
      </w:r>
      <w:r>
        <w:rPr/>
        <w:t>section.</w:t>
      </w:r>
      <w:r>
        <w:rPr>
          <w:spacing w:val="-7"/>
        </w:rPr>
        <w:t> </w:t>
      </w:r>
      <w:r>
        <w:rPr/>
        <w:t>Loudoun</w:t>
      </w:r>
      <w:r>
        <w:rPr>
          <w:spacing w:val="-10"/>
        </w:rPr>
        <w:t> </w:t>
      </w:r>
      <w:r>
        <w:rPr/>
        <w:t>County’s</w:t>
      </w:r>
      <w:r>
        <w:rPr>
          <w:spacing w:val="-8"/>
        </w:rPr>
        <w:t> </w:t>
      </w:r>
      <w:r>
        <w:rPr/>
        <w:t>zoning</w:t>
      </w:r>
      <w:r>
        <w:rPr>
          <w:spacing w:val="-12"/>
        </w:rPr>
        <w:t> </w:t>
      </w:r>
      <w:r>
        <w:rPr/>
        <w:t>regulations</w:t>
      </w:r>
      <w:r>
        <w:rPr>
          <w:spacing w:val="-7"/>
        </w:rPr>
        <w:t> </w:t>
      </w:r>
      <w:r>
        <w:rPr/>
        <w:t>will continue to support Quality Development through a variety of interrelated provisions. Fundamentally, the lot and building standards applicable in each zoning district are intended to ensure</w:t>
      </w:r>
      <w:r>
        <w:rPr>
          <w:spacing w:val="-8"/>
        </w:rPr>
        <w:t> </w:t>
      </w:r>
      <w:r>
        <w:rPr/>
        <w:t>the</w:t>
      </w:r>
      <w:r>
        <w:rPr>
          <w:spacing w:val="-5"/>
        </w:rPr>
        <w:t> </w:t>
      </w:r>
      <w:r>
        <w:rPr/>
        <w:t>proportionality</w:t>
      </w:r>
      <w:r>
        <w:rPr>
          <w:spacing w:val="-9"/>
        </w:rPr>
        <w:t> </w:t>
      </w:r>
      <w:r>
        <w:rPr/>
        <w:t>of</w:t>
      </w:r>
      <w:r>
        <w:rPr>
          <w:spacing w:val="-7"/>
        </w:rPr>
        <w:t> </w:t>
      </w:r>
      <w:r>
        <w:rPr/>
        <w:t>new</w:t>
      </w:r>
      <w:r>
        <w:rPr>
          <w:spacing w:val="-5"/>
        </w:rPr>
        <w:t> </w:t>
      </w:r>
      <w:r>
        <w:rPr/>
        <w:t>development</w:t>
      </w:r>
      <w:r>
        <w:rPr>
          <w:spacing w:val="-6"/>
        </w:rPr>
        <w:t> </w:t>
      </w:r>
      <w:r>
        <w:rPr/>
        <w:t>to</w:t>
      </w:r>
      <w:r>
        <w:rPr>
          <w:spacing w:val="-3"/>
        </w:rPr>
        <w:t> </w:t>
      </w:r>
      <w:r>
        <w:rPr/>
        <w:t>the</w:t>
      </w:r>
      <w:r>
        <w:rPr>
          <w:spacing w:val="-7"/>
        </w:rPr>
        <w:t> </w:t>
      </w:r>
      <w:r>
        <w:rPr/>
        <w:t>surrounding</w:t>
      </w:r>
      <w:r>
        <w:rPr>
          <w:spacing w:val="-9"/>
        </w:rPr>
        <w:t> </w:t>
      </w:r>
      <w:r>
        <w:rPr/>
        <w:t>community</w:t>
      </w:r>
      <w:r>
        <w:rPr>
          <w:spacing w:val="-11"/>
        </w:rPr>
        <w:t> </w:t>
      </w:r>
      <w:r>
        <w:rPr/>
        <w:t>with</w:t>
      </w:r>
      <w:r>
        <w:rPr>
          <w:spacing w:val="-6"/>
        </w:rPr>
        <w:t> </w:t>
      </w:r>
      <w:r>
        <w:rPr/>
        <w:t>the</w:t>
      </w:r>
      <w:r>
        <w:rPr>
          <w:spacing w:val="-7"/>
        </w:rPr>
        <w:t> </w:t>
      </w:r>
      <w:r>
        <w:rPr/>
        <w:t>integration</w:t>
      </w:r>
    </w:p>
    <w:p>
      <w:pPr>
        <w:spacing w:after="0" w:line="259" w:lineRule="auto"/>
        <w:jc w:val="both"/>
        <w:sectPr>
          <w:pgSz w:w="12240" w:h="15840"/>
          <w:pgMar w:header="719" w:footer="540" w:top="1300" w:bottom="740" w:left="1340" w:right="1320"/>
        </w:sectPr>
      </w:pPr>
    </w:p>
    <w:p>
      <w:pPr>
        <w:pStyle w:val="BodyText"/>
        <w:spacing w:line="259" w:lineRule="auto" w:before="117"/>
        <w:ind w:right="117" w:firstLine="0"/>
        <w:jc w:val="both"/>
      </w:pPr>
      <w:r>
        <w:rPr/>
        <w:pict>
          <v:shape style="position:absolute;margin-left:90.066002pt;margin-top:120.643112pt;width:395.3pt;height:419pt;mso-position-horizontal-relative:page;mso-position-vertical-relative:paragraph;z-index:-10576" coordorigin="1801,2413" coordsize="7906,8380" path="m4498,9677l4492,9603,4477,9525,4455,9442,4432,9373,4402,9301,4367,9226,4325,9148,4276,9067,4236,9008,4200,8958,4200,9643,4197,9700,4185,9756,4167,9814,4138,9874,4097,9936,4044,10002,3979,10072,3674,10377,2216,8919,2517,8619,2598,8543,2672,8483,2740,8439,2801,8413,2868,8398,2941,8394,3020,8401,3105,8419,3195,8448,3255,8474,3317,8506,3380,8544,3446,8589,3514,8641,3584,8699,3656,8764,3729,8835,3789,8897,3844,8957,3896,9016,3943,9074,3986,9130,4024,9186,4059,9239,4101,9314,4136,9386,4163,9456,4183,9523,4196,9587,4200,9643,4200,8958,4194,8949,4148,8889,4098,8828,4045,8767,3989,8706,3929,8644,3865,8582,3801,8523,3737,8468,3673,8417,3643,8394,3609,8369,3546,8324,3482,8283,3419,8245,3346,8208,3274,8175,3203,8148,3132,8126,3062,8109,2992,8097,2923,8090,2850,8088,2779,8095,2709,8110,2642,8133,2577,8163,2528,8191,2476,8228,2420,8274,2359,8328,2294,8391,1801,8884,3710,10792,4124,10377,4226,10275,4287,10210,4341,10145,4386,10079,4424,10012,4454,9946,4476,9880,4491,9813,4498,9745,4498,9677m6418,8083l6056,7956,5650,7813,5561,7784,5475,7760,5393,7741,5364,7735,5314,7726,5239,7716,5193,7715,5143,7718,5089,7725,5030,7735,5074,7666,5109,7596,5136,7527,5154,7458,5164,7390,5165,7322,5157,7254,5139,7176,5111,7100,5075,7025,5030,6952,4976,6882,4956,6859,4913,6813,4872,6775,4872,7332,4868,7388,4854,7443,4830,7499,4794,7558,4747,7619,4687,7682,4413,7956,4280,8089,3649,7458,4102,7005,4166,6948,4229,6905,4293,6875,4358,6860,4422,6859,4501,6874,4577,6904,4649,6949,4718,7008,4761,7056,4797,7107,4827,7160,4851,7217,4867,7275,4872,7332,4872,6775,4849,6753,4782,6701,4713,6656,4641,6617,4566,6585,4474,6557,4386,6544,4303,6546,4225,6562,4163,6587,4098,6623,4030,6671,3958,6731,3883,6802,3248,7437,5157,9345,5346,9155,4499,8308,4718,8089,4753,8055,4783,8027,4810,8006,4833,7992,4863,7978,4896,7968,4932,7960,4971,7956,5014,7956,5066,7961,5125,7971,5194,7988,5256,8005,5328,8026,5407,8051,5496,8080,6180,8321,6418,8083m7780,6721l7415,6526,6555,6072,6555,6379,6070,6864,5989,6721,5748,6290,5708,6219,5668,6147,5629,6082,5590,6017,5550,5953,5509,5890,5467,5828,5424,5766,5380,5706,5436,5741,5498,5779,5564,5819,5635,5861,5792,5952,6555,6379,6555,6072,5862,5706,5286,5399,5082,5603,5277,5953,5316,6024,5701,6721,6168,7570,6441,8061,6642,7860,6565,7726,6298,7258,6221,7124,6481,6864,6820,6526,7565,6937,7780,6721m8131,6371l7264,5504,7489,5278,7936,4832,7711,4607,7039,5278,6448,4688,7224,3911,6999,3686,6033,4652,7941,6560,8131,6371m9707,4795l8213,3301,8024,3112,8497,2638,8272,2413,7138,3547,7363,3773,7834,3301,9517,4984,9707,4795e" filled="true" fillcolor="#c0c0c0" stroked="false">
            <v:path arrowok="t"/>
            <v:fill opacity="32896f" type="solid"/>
            <w10:wrap type="none"/>
          </v:shape>
        </w:pict>
      </w:r>
      <w:r>
        <w:rPr/>
        <w:t>of open space as a design component in all geographic settings. The County’s zoning regulations also enhance the quality of new development through requirements for minimum tree canopy, buffer landscaping and screening, and increased setbacks from major road corridors. Future implementation of the design policies in this Plan will require revisions to the zoning regulations to better accommodate the flexibility and adaptability of the Place Type approach to land use planning.</w:t>
      </w:r>
      <w:r>
        <w:rPr>
          <w:spacing w:val="-9"/>
        </w:rPr>
        <w:t> </w:t>
      </w:r>
      <w:r>
        <w:rPr/>
        <w:t>In</w:t>
      </w:r>
      <w:r>
        <w:rPr>
          <w:spacing w:val="-13"/>
        </w:rPr>
        <w:t> </w:t>
      </w:r>
      <w:r>
        <w:rPr/>
        <w:t>addition</w:t>
      </w:r>
      <w:r>
        <w:rPr>
          <w:spacing w:val="-13"/>
        </w:rPr>
        <w:t> </w:t>
      </w:r>
      <w:r>
        <w:rPr/>
        <w:t>to</w:t>
      </w:r>
      <w:r>
        <w:rPr>
          <w:spacing w:val="-13"/>
        </w:rPr>
        <w:t> </w:t>
      </w:r>
      <w:r>
        <w:rPr/>
        <w:t>the</w:t>
      </w:r>
      <w:r>
        <w:rPr>
          <w:spacing w:val="-13"/>
        </w:rPr>
        <w:t> </w:t>
      </w:r>
      <w:r>
        <w:rPr>
          <w:i/>
        </w:rPr>
        <w:t>Loudoun</w:t>
      </w:r>
      <w:r>
        <w:rPr>
          <w:i/>
          <w:spacing w:val="-13"/>
        </w:rPr>
        <w:t> </w:t>
      </w:r>
      <w:r>
        <w:rPr>
          <w:i/>
        </w:rPr>
        <w:t>County</w:t>
      </w:r>
      <w:r>
        <w:rPr>
          <w:i/>
          <w:spacing w:val="-13"/>
        </w:rPr>
        <w:t> </w:t>
      </w:r>
      <w:r>
        <w:rPr>
          <w:i/>
        </w:rPr>
        <w:t>Zoning</w:t>
      </w:r>
      <w:r>
        <w:rPr>
          <w:i/>
          <w:spacing w:val="-13"/>
        </w:rPr>
        <w:t> </w:t>
      </w:r>
      <w:r>
        <w:rPr>
          <w:i/>
        </w:rPr>
        <w:t>Ordinance</w:t>
      </w:r>
      <w:r>
        <w:rPr/>
        <w:t>,</w:t>
      </w:r>
      <w:r>
        <w:rPr>
          <w:spacing w:val="-13"/>
        </w:rPr>
        <w:t> </w:t>
      </w:r>
      <w:r>
        <w:rPr/>
        <w:t>the</w:t>
      </w:r>
      <w:r>
        <w:rPr>
          <w:spacing w:val="-12"/>
        </w:rPr>
        <w:t> </w:t>
      </w:r>
      <w:r>
        <w:rPr/>
        <w:t>County</w:t>
      </w:r>
      <w:r>
        <w:rPr>
          <w:spacing w:val="-13"/>
        </w:rPr>
        <w:t> </w:t>
      </w:r>
      <w:r>
        <w:rPr/>
        <w:t>will</w:t>
      </w:r>
      <w:r>
        <w:rPr>
          <w:spacing w:val="-13"/>
        </w:rPr>
        <w:t> </w:t>
      </w:r>
      <w:r>
        <w:rPr/>
        <w:t>continue</w:t>
      </w:r>
      <w:r>
        <w:rPr>
          <w:spacing w:val="-14"/>
        </w:rPr>
        <w:t> </w:t>
      </w:r>
      <w:r>
        <w:rPr/>
        <w:t>to</w:t>
      </w:r>
      <w:r>
        <w:rPr>
          <w:spacing w:val="-13"/>
        </w:rPr>
        <w:t> </w:t>
      </w:r>
      <w:r>
        <w:rPr/>
        <w:t>accept proffered design guidelines as a component of the rezoning or legislative application process to help ensure quality design of buildings, development sites, and civic/public</w:t>
      </w:r>
      <w:r>
        <w:rPr>
          <w:spacing w:val="-9"/>
        </w:rPr>
        <w:t> </w:t>
      </w:r>
      <w:r>
        <w:rPr/>
        <w:t>spaces.</w:t>
      </w:r>
    </w:p>
    <w:p>
      <w:pPr>
        <w:pStyle w:val="BodyText"/>
        <w:spacing w:before="155"/>
        <w:ind w:firstLine="0"/>
      </w:pPr>
      <w:r>
        <w:rPr/>
        <w:t>The intent of Quality Development is to:</w:t>
      </w:r>
    </w:p>
    <w:p>
      <w:pPr>
        <w:pStyle w:val="ListParagraph"/>
        <w:numPr>
          <w:ilvl w:val="0"/>
          <w:numId w:val="2"/>
        </w:numPr>
        <w:tabs>
          <w:tab w:pos="820" w:val="left" w:leader="none"/>
          <w:tab w:pos="821" w:val="left" w:leader="none"/>
        </w:tabs>
        <w:spacing w:line="256" w:lineRule="auto" w:before="185" w:after="0"/>
        <w:ind w:left="820" w:right="120" w:hanging="360"/>
        <w:jc w:val="left"/>
        <w:rPr>
          <w:sz w:val="24"/>
        </w:rPr>
      </w:pPr>
      <w:r>
        <w:rPr>
          <w:sz w:val="24"/>
        </w:rPr>
        <w:t>Make a great place through development that complements, strengthens, and benefits surrounding</w:t>
      </w:r>
      <w:r>
        <w:rPr>
          <w:spacing w:val="-1"/>
          <w:sz w:val="24"/>
        </w:rPr>
        <w:t> </w:t>
      </w:r>
      <w:r>
        <w:rPr>
          <w:sz w:val="24"/>
        </w:rPr>
        <w:t>communities.</w:t>
      </w:r>
    </w:p>
    <w:p>
      <w:pPr>
        <w:pStyle w:val="ListParagraph"/>
        <w:numPr>
          <w:ilvl w:val="0"/>
          <w:numId w:val="2"/>
        </w:numPr>
        <w:tabs>
          <w:tab w:pos="821" w:val="left" w:leader="none"/>
        </w:tabs>
        <w:spacing w:line="256" w:lineRule="auto" w:before="5" w:after="0"/>
        <w:ind w:left="820" w:right="116" w:hanging="360"/>
        <w:jc w:val="both"/>
        <w:rPr>
          <w:sz w:val="24"/>
        </w:rPr>
      </w:pPr>
      <w:r>
        <w:rPr>
          <w:sz w:val="24"/>
        </w:rPr>
        <w:t>Encourage</w:t>
      </w:r>
      <w:r>
        <w:rPr>
          <w:spacing w:val="-12"/>
          <w:sz w:val="24"/>
        </w:rPr>
        <w:t> </w:t>
      </w:r>
      <w:r>
        <w:rPr>
          <w:sz w:val="24"/>
        </w:rPr>
        <w:t>a</w:t>
      </w:r>
      <w:r>
        <w:rPr>
          <w:spacing w:val="-9"/>
          <w:sz w:val="24"/>
        </w:rPr>
        <w:t> </w:t>
      </w:r>
      <w:r>
        <w:rPr>
          <w:sz w:val="24"/>
        </w:rPr>
        <w:t>mix</w:t>
      </w:r>
      <w:r>
        <w:rPr>
          <w:spacing w:val="-9"/>
          <w:sz w:val="24"/>
        </w:rPr>
        <w:t> </w:t>
      </w:r>
      <w:r>
        <w:rPr>
          <w:sz w:val="24"/>
        </w:rPr>
        <w:t>of</w:t>
      </w:r>
      <w:r>
        <w:rPr>
          <w:spacing w:val="-18"/>
          <w:sz w:val="24"/>
        </w:rPr>
        <w:t> </w:t>
      </w:r>
      <w:r>
        <w:rPr>
          <w:sz w:val="24"/>
        </w:rPr>
        <w:t>complementary</w:t>
      </w:r>
      <w:r>
        <w:rPr>
          <w:spacing w:val="-16"/>
          <w:sz w:val="24"/>
        </w:rPr>
        <w:t> </w:t>
      </w:r>
      <w:r>
        <w:rPr>
          <w:sz w:val="24"/>
        </w:rPr>
        <w:t>land</w:t>
      </w:r>
      <w:r>
        <w:rPr>
          <w:spacing w:val="-9"/>
          <w:sz w:val="24"/>
        </w:rPr>
        <w:t> </w:t>
      </w:r>
      <w:r>
        <w:rPr>
          <w:sz w:val="24"/>
        </w:rPr>
        <w:t>uses</w:t>
      </w:r>
      <w:r>
        <w:rPr>
          <w:spacing w:val="-8"/>
          <w:sz w:val="24"/>
        </w:rPr>
        <w:t> </w:t>
      </w:r>
      <w:r>
        <w:rPr>
          <w:sz w:val="24"/>
        </w:rPr>
        <w:t>and</w:t>
      </w:r>
      <w:r>
        <w:rPr>
          <w:spacing w:val="-9"/>
          <w:sz w:val="24"/>
        </w:rPr>
        <w:t> </w:t>
      </w:r>
      <w:r>
        <w:rPr>
          <w:sz w:val="24"/>
        </w:rPr>
        <w:t>project</w:t>
      </w:r>
      <w:r>
        <w:rPr>
          <w:spacing w:val="-11"/>
          <w:sz w:val="24"/>
        </w:rPr>
        <w:t> </w:t>
      </w:r>
      <w:r>
        <w:rPr>
          <w:sz w:val="24"/>
        </w:rPr>
        <w:t>designs</w:t>
      </w:r>
      <w:r>
        <w:rPr>
          <w:spacing w:val="-11"/>
          <w:sz w:val="24"/>
        </w:rPr>
        <w:t> </w:t>
      </w:r>
      <w:r>
        <w:rPr>
          <w:sz w:val="24"/>
        </w:rPr>
        <w:t>that</w:t>
      </w:r>
      <w:r>
        <w:rPr>
          <w:spacing w:val="-9"/>
          <w:sz w:val="24"/>
        </w:rPr>
        <w:t> </w:t>
      </w:r>
      <w:r>
        <w:rPr>
          <w:sz w:val="24"/>
        </w:rPr>
        <w:t>ensure</w:t>
      </w:r>
      <w:r>
        <w:rPr>
          <w:spacing w:val="-12"/>
          <w:sz w:val="24"/>
        </w:rPr>
        <w:t> </w:t>
      </w:r>
      <w:r>
        <w:rPr>
          <w:sz w:val="24"/>
        </w:rPr>
        <w:t>the</w:t>
      </w:r>
      <w:r>
        <w:rPr>
          <w:spacing w:val="-12"/>
          <w:sz w:val="24"/>
        </w:rPr>
        <w:t> </w:t>
      </w:r>
      <w:r>
        <w:rPr>
          <w:sz w:val="24"/>
        </w:rPr>
        <w:t>long-term sustainability, or environmental and economic health, of both the individual development and the broader</w:t>
      </w:r>
      <w:r>
        <w:rPr>
          <w:spacing w:val="-1"/>
          <w:sz w:val="24"/>
        </w:rPr>
        <w:t> </w:t>
      </w:r>
      <w:r>
        <w:rPr>
          <w:sz w:val="24"/>
        </w:rPr>
        <w:t>community.</w:t>
      </w:r>
    </w:p>
    <w:p>
      <w:pPr>
        <w:pStyle w:val="ListParagraph"/>
        <w:numPr>
          <w:ilvl w:val="0"/>
          <w:numId w:val="2"/>
        </w:numPr>
        <w:tabs>
          <w:tab w:pos="820" w:val="left" w:leader="none"/>
          <w:tab w:pos="821" w:val="left" w:leader="none"/>
        </w:tabs>
        <w:spacing w:line="256" w:lineRule="auto" w:before="4" w:after="0"/>
        <w:ind w:left="820" w:right="121" w:hanging="360"/>
        <w:jc w:val="left"/>
        <w:rPr>
          <w:sz w:val="24"/>
        </w:rPr>
      </w:pPr>
      <w:r>
        <w:rPr>
          <w:sz w:val="24"/>
        </w:rPr>
        <w:t>Foster places with distinctive identities through the use of high quality design, siting, landscaping, architecture, signage, sustainability, and other design</w:t>
      </w:r>
      <w:r>
        <w:rPr>
          <w:spacing w:val="-1"/>
          <w:sz w:val="24"/>
        </w:rPr>
        <w:t> </w:t>
      </w:r>
      <w:r>
        <w:rPr>
          <w:sz w:val="24"/>
        </w:rPr>
        <w:t>elements.</w:t>
      </w:r>
    </w:p>
    <w:p>
      <w:pPr>
        <w:pStyle w:val="ListParagraph"/>
        <w:numPr>
          <w:ilvl w:val="0"/>
          <w:numId w:val="2"/>
        </w:numPr>
        <w:tabs>
          <w:tab w:pos="820" w:val="left" w:leader="none"/>
          <w:tab w:pos="821" w:val="left" w:leader="none"/>
        </w:tabs>
        <w:spacing w:line="256" w:lineRule="auto" w:before="2" w:after="0"/>
        <w:ind w:left="820" w:right="117" w:hanging="360"/>
        <w:jc w:val="left"/>
        <w:rPr>
          <w:sz w:val="24"/>
        </w:rPr>
      </w:pPr>
      <w:r>
        <w:rPr>
          <w:sz w:val="24"/>
        </w:rPr>
        <w:t>Integrate land use and transportation policies that prioritize development first at the Metrorail Stations and provide the most compact and accessible</w:t>
      </w:r>
      <w:r>
        <w:rPr>
          <w:spacing w:val="-3"/>
          <w:sz w:val="24"/>
        </w:rPr>
        <w:t> </w:t>
      </w:r>
      <w:r>
        <w:rPr>
          <w:sz w:val="24"/>
        </w:rPr>
        <w:t>development.</w:t>
      </w:r>
    </w:p>
    <w:p>
      <w:pPr>
        <w:pStyle w:val="BodyText"/>
        <w:spacing w:before="161"/>
        <w:ind w:firstLine="0"/>
      </w:pPr>
      <w:r>
        <w:rPr/>
        <w:t>The following Policies, Strategies, and Actions aim to achieve this intent.</w:t>
      </w:r>
    </w:p>
    <w:p>
      <w:pPr>
        <w:pStyle w:val="Heading3"/>
        <w:spacing w:before="193"/>
        <w:jc w:val="left"/>
      </w:pPr>
      <w:r>
        <w:rPr>
          <w:w w:val="95"/>
        </w:rPr>
        <w:t>Policies, Strategies, and</w:t>
      </w:r>
      <w:r>
        <w:rPr>
          <w:spacing w:val="-73"/>
          <w:w w:val="95"/>
        </w:rPr>
        <w:t> </w:t>
      </w:r>
      <w:r>
        <w:rPr>
          <w:w w:val="95"/>
        </w:rPr>
        <w:t>Actions</w:t>
      </w:r>
    </w:p>
    <w:p>
      <w:pPr>
        <w:pStyle w:val="BodyText"/>
        <w:spacing w:before="26"/>
        <w:ind w:firstLine="0"/>
      </w:pPr>
      <w:r>
        <w:rPr/>
        <w:t>Unless otherwise specified, the following Policies, Strategies, and Actions apply countywide.</w:t>
      </w:r>
    </w:p>
    <w:p>
      <w:pPr>
        <w:pStyle w:val="Heading5"/>
        <w:spacing w:before="155"/>
        <w:ind w:right="116"/>
      </w:pPr>
      <w:r>
        <w:rPr>
          <w:color w:val="396230"/>
        </w:rPr>
        <w:t>QD</w:t>
      </w:r>
      <w:r>
        <w:rPr>
          <w:color w:val="396230"/>
          <w:spacing w:val="-22"/>
        </w:rPr>
        <w:t> </w:t>
      </w:r>
      <w:r>
        <w:rPr>
          <w:color w:val="396230"/>
          <w:w w:val="95"/>
        </w:rPr>
        <w:t>Policy</w:t>
      </w:r>
      <w:r>
        <w:rPr>
          <w:color w:val="396230"/>
          <w:spacing w:val="-20"/>
          <w:w w:val="95"/>
        </w:rPr>
        <w:t> </w:t>
      </w:r>
      <w:r>
        <w:rPr>
          <w:color w:val="396230"/>
          <w:w w:val="95"/>
        </w:rPr>
        <w:t>1:</w:t>
      </w:r>
      <w:r>
        <w:rPr>
          <w:color w:val="396230"/>
          <w:spacing w:val="32"/>
          <w:w w:val="95"/>
        </w:rPr>
        <w:t> </w:t>
      </w:r>
      <w:r>
        <w:rPr>
          <w:color w:val="396230"/>
          <w:w w:val="95"/>
        </w:rPr>
        <w:t>Provide</w:t>
      </w:r>
      <w:r>
        <w:rPr>
          <w:color w:val="396230"/>
          <w:spacing w:val="-18"/>
          <w:w w:val="95"/>
        </w:rPr>
        <w:t> </w:t>
      </w:r>
      <w:r>
        <w:rPr>
          <w:color w:val="396230"/>
          <w:w w:val="95"/>
        </w:rPr>
        <w:t>flexible</w:t>
      </w:r>
      <w:r>
        <w:rPr>
          <w:color w:val="396230"/>
          <w:spacing w:val="-20"/>
          <w:w w:val="95"/>
        </w:rPr>
        <w:t> </w:t>
      </w:r>
      <w:r>
        <w:rPr>
          <w:color w:val="396230"/>
          <w:w w:val="95"/>
        </w:rPr>
        <w:t>design</w:t>
      </w:r>
      <w:r>
        <w:rPr>
          <w:color w:val="396230"/>
          <w:spacing w:val="-19"/>
          <w:w w:val="95"/>
        </w:rPr>
        <w:t> </w:t>
      </w:r>
      <w:r>
        <w:rPr>
          <w:color w:val="396230"/>
          <w:w w:val="95"/>
        </w:rPr>
        <w:t>guidelines</w:t>
      </w:r>
      <w:r>
        <w:rPr>
          <w:color w:val="396230"/>
          <w:spacing w:val="-20"/>
          <w:w w:val="95"/>
        </w:rPr>
        <w:t> </w:t>
      </w:r>
      <w:r>
        <w:rPr>
          <w:color w:val="396230"/>
          <w:w w:val="95"/>
        </w:rPr>
        <w:t>in</w:t>
      </w:r>
      <w:r>
        <w:rPr>
          <w:color w:val="396230"/>
          <w:spacing w:val="-19"/>
          <w:w w:val="95"/>
        </w:rPr>
        <w:t> </w:t>
      </w:r>
      <w:r>
        <w:rPr>
          <w:color w:val="396230"/>
          <w:w w:val="95"/>
        </w:rPr>
        <w:t>all</w:t>
      </w:r>
      <w:r>
        <w:rPr>
          <w:color w:val="396230"/>
          <w:spacing w:val="-14"/>
          <w:w w:val="95"/>
        </w:rPr>
        <w:t> </w:t>
      </w:r>
      <w:r>
        <w:rPr>
          <w:color w:val="396230"/>
          <w:w w:val="95"/>
        </w:rPr>
        <w:t>Policy</w:t>
      </w:r>
      <w:r>
        <w:rPr>
          <w:color w:val="396230"/>
          <w:spacing w:val="-19"/>
          <w:w w:val="95"/>
        </w:rPr>
        <w:t> </w:t>
      </w:r>
      <w:r>
        <w:rPr>
          <w:color w:val="396230"/>
          <w:w w:val="95"/>
        </w:rPr>
        <w:t>Areas</w:t>
      </w:r>
      <w:r>
        <w:rPr>
          <w:color w:val="396230"/>
          <w:spacing w:val="-18"/>
          <w:w w:val="95"/>
        </w:rPr>
        <w:t> </w:t>
      </w:r>
      <w:r>
        <w:rPr>
          <w:color w:val="396230"/>
          <w:w w:val="95"/>
        </w:rPr>
        <w:t>and</w:t>
      </w:r>
      <w:r>
        <w:rPr>
          <w:color w:val="396230"/>
          <w:spacing w:val="-18"/>
          <w:w w:val="95"/>
        </w:rPr>
        <w:t> </w:t>
      </w:r>
      <w:r>
        <w:rPr>
          <w:color w:val="396230"/>
          <w:w w:val="95"/>
        </w:rPr>
        <w:t>in</w:t>
      </w:r>
      <w:r>
        <w:rPr>
          <w:color w:val="396230"/>
          <w:spacing w:val="-18"/>
          <w:w w:val="95"/>
        </w:rPr>
        <w:t> </w:t>
      </w:r>
      <w:r>
        <w:rPr>
          <w:color w:val="396230"/>
          <w:w w:val="95"/>
        </w:rPr>
        <w:t>priority areas of the County to create more specific design guidelines that encourage innovation and appropriate architectural, site, and landscape design in all development.</w:t>
      </w:r>
    </w:p>
    <w:p>
      <w:pPr>
        <w:spacing w:line="264" w:lineRule="exact" w:before="194"/>
        <w:ind w:left="100" w:right="0" w:firstLine="0"/>
        <w:jc w:val="left"/>
        <w:rPr>
          <w:rFonts w:ascii="Verdana"/>
          <w:sz w:val="22"/>
        </w:rPr>
      </w:pPr>
      <w:r>
        <w:rPr>
          <w:rFonts w:ascii="Verdana"/>
          <w:sz w:val="22"/>
          <w:u w:val="single"/>
        </w:rPr>
        <w:t>Strategy</w:t>
      </w:r>
    </w:p>
    <w:p>
      <w:pPr>
        <w:pStyle w:val="ListParagraph"/>
        <w:numPr>
          <w:ilvl w:val="1"/>
          <w:numId w:val="4"/>
        </w:numPr>
        <w:tabs>
          <w:tab w:pos="1001" w:val="left" w:leader="none"/>
        </w:tabs>
        <w:spacing w:line="273" w:lineRule="exact" w:before="0" w:after="0"/>
        <w:ind w:left="1000" w:right="0" w:hanging="540"/>
        <w:jc w:val="left"/>
        <w:rPr>
          <w:sz w:val="24"/>
        </w:rPr>
      </w:pPr>
      <w:r>
        <w:rPr>
          <w:sz w:val="24"/>
        </w:rPr>
        <w:t>Identify and prioritize areas in the County for more specific design</w:t>
      </w:r>
      <w:r>
        <w:rPr>
          <w:spacing w:val="-15"/>
          <w:sz w:val="24"/>
        </w:rPr>
        <w:t> </w:t>
      </w:r>
      <w:r>
        <w:rPr>
          <w:sz w:val="24"/>
        </w:rPr>
        <w:t>guidelines.</w:t>
      </w:r>
    </w:p>
    <w:p>
      <w:pPr>
        <w:pStyle w:val="BodyText"/>
        <w:spacing w:before="8"/>
        <w:ind w:left="0" w:firstLine="0"/>
        <w:rPr>
          <w:sz w:val="21"/>
        </w:rPr>
      </w:pPr>
    </w:p>
    <w:p>
      <w:pPr>
        <w:spacing w:line="263" w:lineRule="exact" w:before="0"/>
        <w:ind w:left="460" w:right="0" w:firstLine="0"/>
        <w:jc w:val="left"/>
        <w:rPr>
          <w:rFonts w:ascii="Verdana"/>
          <w:sz w:val="22"/>
        </w:rPr>
      </w:pPr>
      <w:r>
        <w:rPr>
          <w:rFonts w:ascii="Verdana"/>
          <w:sz w:val="22"/>
          <w:u w:val="single"/>
        </w:rPr>
        <w:t>Actions</w:t>
      </w:r>
    </w:p>
    <w:p>
      <w:pPr>
        <w:pStyle w:val="ListParagraph"/>
        <w:numPr>
          <w:ilvl w:val="2"/>
          <w:numId w:val="4"/>
        </w:numPr>
        <w:tabs>
          <w:tab w:pos="1181" w:val="left" w:leader="none"/>
        </w:tabs>
        <w:spacing w:line="240" w:lineRule="auto" w:before="0" w:after="0"/>
        <w:ind w:left="1180" w:right="344" w:hanging="360"/>
        <w:jc w:val="left"/>
        <w:rPr>
          <w:sz w:val="24"/>
        </w:rPr>
      </w:pPr>
      <w:r>
        <w:rPr>
          <w:sz w:val="24"/>
        </w:rPr>
        <w:t>Develop user-friendly, illustrative design guidelines. Promote an overall sense of place through design elements that relate to block size, circulation and</w:t>
      </w:r>
      <w:r>
        <w:rPr>
          <w:spacing w:val="-15"/>
          <w:sz w:val="24"/>
        </w:rPr>
        <w:t> </w:t>
      </w:r>
      <w:r>
        <w:rPr>
          <w:sz w:val="24"/>
        </w:rPr>
        <w:t>connectivity, streetscape and street sections, building form, placement (setbacks), orientation, articulation, Parks and Open Spaces, Public and Civic uses, landscaping, and sustainability.</w:t>
      </w:r>
    </w:p>
    <w:p>
      <w:pPr>
        <w:pStyle w:val="BodyText"/>
        <w:spacing w:before="6"/>
        <w:ind w:left="0" w:firstLine="0"/>
        <w:rPr>
          <w:sz w:val="20"/>
        </w:rPr>
      </w:pPr>
    </w:p>
    <w:p>
      <w:pPr>
        <w:pStyle w:val="ListParagraph"/>
        <w:numPr>
          <w:ilvl w:val="2"/>
          <w:numId w:val="4"/>
        </w:numPr>
        <w:tabs>
          <w:tab w:pos="1181" w:val="left" w:leader="none"/>
        </w:tabs>
        <w:spacing w:line="240" w:lineRule="auto" w:before="1" w:after="0"/>
        <w:ind w:left="1180" w:right="1988" w:hanging="360"/>
        <w:jc w:val="left"/>
        <w:rPr>
          <w:sz w:val="24"/>
        </w:rPr>
      </w:pPr>
      <w:r>
        <w:rPr>
          <w:sz w:val="24"/>
        </w:rPr>
        <w:t>Develop a user-friendly, illustrative design guideline handbook</w:t>
      </w:r>
      <w:r>
        <w:rPr>
          <w:spacing w:val="-11"/>
          <w:sz w:val="24"/>
        </w:rPr>
        <w:t> </w:t>
      </w:r>
      <w:r>
        <w:rPr>
          <w:sz w:val="24"/>
        </w:rPr>
        <w:t>for nonresidential/commercial development in priority</w:t>
      </w:r>
      <w:r>
        <w:rPr>
          <w:spacing w:val="-6"/>
          <w:sz w:val="24"/>
        </w:rPr>
        <w:t> </w:t>
      </w:r>
      <w:r>
        <w:rPr>
          <w:sz w:val="24"/>
        </w:rPr>
        <w:t>areas.</w:t>
      </w:r>
    </w:p>
    <w:p>
      <w:pPr>
        <w:pStyle w:val="BodyText"/>
        <w:spacing w:before="10"/>
        <w:ind w:left="0" w:firstLine="0"/>
        <w:rPr>
          <w:sz w:val="20"/>
        </w:rPr>
      </w:pPr>
    </w:p>
    <w:p>
      <w:pPr>
        <w:pStyle w:val="ListParagraph"/>
        <w:numPr>
          <w:ilvl w:val="2"/>
          <w:numId w:val="4"/>
        </w:numPr>
        <w:tabs>
          <w:tab w:pos="1181" w:val="left" w:leader="none"/>
        </w:tabs>
        <w:spacing w:line="240" w:lineRule="auto" w:before="0" w:after="0"/>
        <w:ind w:left="1180" w:right="0" w:hanging="360"/>
        <w:jc w:val="left"/>
        <w:rPr>
          <w:sz w:val="24"/>
        </w:rPr>
      </w:pPr>
      <w:r>
        <w:rPr>
          <w:sz w:val="24"/>
        </w:rPr>
        <w:t>Create incentives that provide the opportunity to implement design</w:t>
      </w:r>
      <w:r>
        <w:rPr>
          <w:spacing w:val="-6"/>
          <w:sz w:val="24"/>
        </w:rPr>
        <w:t> </w:t>
      </w:r>
      <w:r>
        <w:rPr>
          <w:sz w:val="24"/>
        </w:rPr>
        <w:t>guidelines.</w:t>
      </w:r>
    </w:p>
    <w:p>
      <w:pPr>
        <w:spacing w:after="0" w:line="240" w:lineRule="auto"/>
        <w:jc w:val="left"/>
        <w:rPr>
          <w:sz w:val="24"/>
        </w:rPr>
        <w:sectPr>
          <w:pgSz w:w="12240" w:h="15840"/>
          <w:pgMar w:header="719" w:footer="540" w:top="1300" w:bottom="740" w:left="1340" w:right="1320"/>
        </w:sectPr>
      </w:pPr>
    </w:p>
    <w:p>
      <w:pPr>
        <w:pStyle w:val="ListParagraph"/>
        <w:numPr>
          <w:ilvl w:val="2"/>
          <w:numId w:val="4"/>
        </w:numPr>
        <w:tabs>
          <w:tab w:pos="1181" w:val="left" w:leader="none"/>
        </w:tabs>
        <w:spacing w:line="240" w:lineRule="auto" w:before="115" w:after="0"/>
        <w:ind w:left="1180" w:right="0" w:hanging="360"/>
        <w:jc w:val="left"/>
        <w:rPr>
          <w:sz w:val="24"/>
        </w:rPr>
      </w:pPr>
      <w:r>
        <w:rPr>
          <w:sz w:val="24"/>
        </w:rPr>
        <w:t>Consider incorporating the design guidelines of this plan into the Zoning</w:t>
      </w:r>
      <w:r>
        <w:rPr>
          <w:spacing w:val="-10"/>
          <w:sz w:val="24"/>
        </w:rPr>
        <w:t> </w:t>
      </w:r>
      <w:r>
        <w:rPr>
          <w:sz w:val="24"/>
        </w:rPr>
        <w:t>Ordinance.</w:t>
      </w:r>
    </w:p>
    <w:p>
      <w:pPr>
        <w:pStyle w:val="BodyText"/>
        <w:spacing w:before="8"/>
        <w:ind w:left="0" w:firstLine="0"/>
        <w:rPr>
          <w:sz w:val="21"/>
        </w:rPr>
      </w:pPr>
    </w:p>
    <w:p>
      <w:pPr>
        <w:spacing w:line="263" w:lineRule="exact" w:before="1"/>
        <w:ind w:left="100" w:right="0" w:firstLine="0"/>
        <w:jc w:val="left"/>
        <w:rPr>
          <w:rFonts w:ascii="Verdana"/>
          <w:sz w:val="22"/>
        </w:rPr>
      </w:pPr>
      <w:r>
        <w:rPr>
          <w:rFonts w:ascii="Verdana"/>
          <w:sz w:val="22"/>
          <w:u w:val="single"/>
        </w:rPr>
        <w:t>Strategy</w:t>
      </w:r>
    </w:p>
    <w:p>
      <w:pPr>
        <w:pStyle w:val="ListParagraph"/>
        <w:numPr>
          <w:ilvl w:val="1"/>
          <w:numId w:val="4"/>
        </w:numPr>
        <w:tabs>
          <w:tab w:pos="1001" w:val="left" w:leader="none"/>
        </w:tabs>
        <w:spacing w:line="240" w:lineRule="auto" w:before="0" w:after="0"/>
        <w:ind w:left="1000" w:right="121" w:hanging="540"/>
        <w:jc w:val="left"/>
        <w:rPr>
          <w:sz w:val="24"/>
        </w:rPr>
      </w:pPr>
      <w:r>
        <w:rPr>
          <w:sz w:val="24"/>
        </w:rPr>
        <w:t>Encourage the submission of site development and architectural guidelines for new developments, where</w:t>
      </w:r>
      <w:r>
        <w:rPr>
          <w:spacing w:val="-2"/>
          <w:sz w:val="24"/>
        </w:rPr>
        <w:t> </w:t>
      </w:r>
      <w:r>
        <w:rPr>
          <w:sz w:val="24"/>
        </w:rPr>
        <w:t>applicable.</w:t>
      </w:r>
    </w:p>
    <w:p>
      <w:pPr>
        <w:pStyle w:val="Heading5"/>
        <w:spacing w:before="211"/>
        <w:ind w:right="110"/>
      </w:pPr>
      <w:r>
        <w:rPr/>
        <w:pict>
          <v:shape style="position:absolute;margin-left:90.066002pt;margin-top:47.825474pt;width:395.3pt;height:419pt;mso-position-horizontal-relative:page;mso-position-vertical-relative:paragraph;z-index:-10552" coordorigin="1801,957" coordsize="7906,8380" path="m4498,8220l4492,8147,4477,8069,4455,7986,4432,7917,4402,7845,4367,7770,4325,7692,4276,7611,4236,7552,4200,7501,4200,8187,4197,8243,4185,8300,4167,8358,4138,8417,4097,8480,4044,8546,3979,8615,3674,8921,2216,7463,2517,7162,2598,7086,2672,7026,2740,6983,2801,6956,2868,6942,2941,6938,3020,6944,3105,6962,3195,6992,3255,7017,3317,7049,3380,7088,3446,7133,3514,7185,3584,7243,3656,7308,3729,7379,3789,7440,3844,7501,3896,7560,3943,7617,3986,7674,4024,7729,4059,7783,4101,7858,4136,7930,4163,8000,4183,8067,4196,8131,4200,8187,4200,7501,4194,7492,4148,7432,4098,7372,4045,7311,3989,7249,3929,7188,3865,7126,3801,7067,3737,7012,3673,6961,3643,6938,3609,6913,3546,6868,3482,6827,3419,6789,3346,6751,3274,6719,3203,6692,3132,6670,3062,6653,2992,6641,2923,6634,2850,6632,2779,6639,2709,6654,2642,6676,2577,6707,2528,6735,2476,6772,2420,6818,2359,6872,2294,6934,1801,7428,3710,9336,4124,8921,4226,8819,4287,8754,4341,8689,4386,8623,4424,8556,4454,8490,4476,8423,4491,8356,4498,8289,4498,8220m6418,6627l6056,6500,5650,6357,5561,6327,5475,6304,5393,6284,5364,6279,5314,6270,5239,6260,5193,6258,5143,6261,5089,6268,5030,6279,5074,6209,5109,6140,5136,6071,5154,6002,5164,5933,5165,5865,5157,5798,5139,5720,5111,5643,5075,5569,5030,5496,4976,5425,4956,5403,4913,5357,4872,5318,4872,5876,4868,5932,4854,5986,4830,6043,4794,6101,4747,6162,4687,6226,4413,6500,4280,6633,3649,6002,4102,5549,4166,5492,4229,5448,4293,5419,4358,5404,4422,5403,4501,5418,4577,5448,4649,5492,4718,5552,4761,5599,4797,5650,4827,5704,4851,5761,4867,5819,4872,5876,4872,5318,4849,5297,4782,5245,4713,5199,4641,5161,4566,5129,4474,5100,4386,5087,4303,5089,4225,5105,4163,5130,4098,5167,4030,5215,3958,5275,3883,5346,3248,5980,5157,7889,5346,7699,4499,6852,4718,6633,4753,6598,4783,6571,4810,6550,4833,6536,4863,6522,4896,6511,4932,6504,4971,6500,5014,6500,5066,6505,5125,6515,5194,6532,5256,6549,5328,6570,5407,6595,5496,6624,6180,6865,6418,6627m7780,5265l7415,5070,6555,4616,6555,4923,6070,5408,5989,5265,5748,4834,5708,4762,5668,4691,5629,4625,5590,4561,5550,4497,5509,4434,5467,4371,5424,4310,5380,4249,5436,4285,5498,4323,5564,4363,5635,4405,5792,4495,6555,4923,6555,4616,5862,4249,5286,3943,5082,4147,5277,4497,5316,4567,5701,5265,6168,6114,6441,6605,6642,6403,6565,6270,6298,5802,6221,5668,6481,5408,6820,5070,7565,5481,7780,5265m8131,4914l7264,4048,7489,3822,7936,3376,7711,3150,7039,3822,6448,3231,7224,2455,6999,2230,6033,3196,7941,5104,8131,4914m9707,3338l8213,1845,8024,1655,8497,1182,8272,957,7138,2091,7363,2316,7834,1845,9517,3528,9707,3338e" filled="true" fillcolor="#c0c0c0" stroked="false">
            <v:path arrowok="t"/>
            <v:fill opacity="32896f" type="solid"/>
            <w10:wrap type="none"/>
          </v:shape>
        </w:pict>
      </w:r>
      <w:r>
        <w:rPr>
          <w:color w:val="396230"/>
          <w:w w:val="95"/>
        </w:rPr>
        <w:t>QD</w:t>
      </w:r>
      <w:r>
        <w:rPr>
          <w:color w:val="396230"/>
          <w:spacing w:val="-13"/>
          <w:w w:val="95"/>
        </w:rPr>
        <w:t> </w:t>
      </w:r>
      <w:r>
        <w:rPr>
          <w:color w:val="396230"/>
          <w:w w:val="95"/>
        </w:rPr>
        <w:t>Policy</w:t>
      </w:r>
      <w:r>
        <w:rPr>
          <w:color w:val="396230"/>
          <w:spacing w:val="-15"/>
          <w:w w:val="95"/>
        </w:rPr>
        <w:t> </w:t>
      </w:r>
      <w:r>
        <w:rPr>
          <w:color w:val="396230"/>
          <w:w w:val="95"/>
        </w:rPr>
        <w:t>2:</w:t>
      </w:r>
      <w:r>
        <w:rPr>
          <w:color w:val="396230"/>
          <w:spacing w:val="-13"/>
          <w:w w:val="95"/>
        </w:rPr>
        <w:t> </w:t>
      </w:r>
      <w:r>
        <w:rPr>
          <w:color w:val="396230"/>
          <w:w w:val="95"/>
        </w:rPr>
        <w:t>Create</w:t>
      </w:r>
      <w:r>
        <w:rPr>
          <w:color w:val="396230"/>
          <w:spacing w:val="-13"/>
          <w:w w:val="95"/>
        </w:rPr>
        <w:t> </w:t>
      </w:r>
      <w:r>
        <w:rPr>
          <w:color w:val="396230"/>
          <w:w w:val="95"/>
        </w:rPr>
        <w:t>compact,</w:t>
      </w:r>
      <w:r>
        <w:rPr>
          <w:color w:val="396230"/>
          <w:spacing w:val="-13"/>
          <w:w w:val="95"/>
        </w:rPr>
        <w:t> </w:t>
      </w:r>
      <w:r>
        <w:rPr>
          <w:color w:val="396230"/>
          <w:w w:val="95"/>
        </w:rPr>
        <w:t>walkable</w:t>
      </w:r>
      <w:r>
        <w:rPr>
          <w:color w:val="396230"/>
          <w:spacing w:val="-14"/>
          <w:w w:val="95"/>
        </w:rPr>
        <w:t> </w:t>
      </w:r>
      <w:r>
        <w:rPr>
          <w:color w:val="396230"/>
          <w:w w:val="95"/>
        </w:rPr>
        <w:t>development</w:t>
      </w:r>
      <w:r>
        <w:rPr>
          <w:color w:val="396230"/>
          <w:spacing w:val="-14"/>
          <w:w w:val="95"/>
        </w:rPr>
        <w:t> </w:t>
      </w:r>
      <w:r>
        <w:rPr>
          <w:color w:val="396230"/>
          <w:w w:val="95"/>
        </w:rPr>
        <w:t>patterns</w:t>
      </w:r>
      <w:r>
        <w:rPr>
          <w:color w:val="396230"/>
          <w:spacing w:val="-9"/>
          <w:w w:val="95"/>
        </w:rPr>
        <w:t> </w:t>
      </w:r>
      <w:r>
        <w:rPr>
          <w:color w:val="396230"/>
          <w:w w:val="95"/>
        </w:rPr>
        <w:t>characterized</w:t>
      </w:r>
      <w:r>
        <w:rPr>
          <w:color w:val="396230"/>
          <w:spacing w:val="-14"/>
          <w:w w:val="95"/>
        </w:rPr>
        <w:t> </w:t>
      </w:r>
      <w:r>
        <w:rPr>
          <w:color w:val="396230"/>
          <w:w w:val="95"/>
        </w:rPr>
        <w:t>by smaller</w:t>
      </w:r>
      <w:r>
        <w:rPr>
          <w:color w:val="396230"/>
          <w:spacing w:val="-27"/>
          <w:w w:val="95"/>
        </w:rPr>
        <w:t> </w:t>
      </w:r>
      <w:r>
        <w:rPr>
          <w:color w:val="396230"/>
          <w:w w:val="95"/>
        </w:rPr>
        <w:t>blocks,</w:t>
      </w:r>
      <w:r>
        <w:rPr>
          <w:color w:val="396230"/>
          <w:spacing w:val="-26"/>
          <w:w w:val="95"/>
        </w:rPr>
        <w:t> </w:t>
      </w:r>
      <w:r>
        <w:rPr>
          <w:color w:val="396230"/>
          <w:w w:val="95"/>
        </w:rPr>
        <w:t>shorter</w:t>
      </w:r>
      <w:r>
        <w:rPr>
          <w:color w:val="396230"/>
          <w:spacing w:val="-26"/>
          <w:w w:val="95"/>
        </w:rPr>
        <w:t> </w:t>
      </w:r>
      <w:r>
        <w:rPr>
          <w:color w:val="396230"/>
          <w:w w:val="95"/>
        </w:rPr>
        <w:t>distances</w:t>
      </w:r>
      <w:r>
        <w:rPr>
          <w:color w:val="396230"/>
          <w:spacing w:val="-25"/>
          <w:w w:val="95"/>
        </w:rPr>
        <w:t> </w:t>
      </w:r>
      <w:r>
        <w:rPr>
          <w:color w:val="396230"/>
          <w:w w:val="95"/>
        </w:rPr>
        <w:t>among</w:t>
      </w:r>
      <w:r>
        <w:rPr>
          <w:color w:val="396230"/>
          <w:spacing w:val="-26"/>
          <w:w w:val="95"/>
        </w:rPr>
        <w:t> </w:t>
      </w:r>
      <w:r>
        <w:rPr>
          <w:color w:val="396230"/>
          <w:w w:val="95"/>
        </w:rPr>
        <w:t>uses,</w:t>
      </w:r>
      <w:r>
        <w:rPr>
          <w:color w:val="396230"/>
          <w:spacing w:val="-26"/>
          <w:w w:val="95"/>
        </w:rPr>
        <w:t> </w:t>
      </w:r>
      <w:r>
        <w:rPr>
          <w:color w:val="396230"/>
          <w:w w:val="95"/>
        </w:rPr>
        <w:t>inter-parcel</w:t>
      </w:r>
      <w:r>
        <w:rPr>
          <w:color w:val="396230"/>
          <w:spacing w:val="-25"/>
          <w:w w:val="95"/>
        </w:rPr>
        <w:t> </w:t>
      </w:r>
      <w:r>
        <w:rPr>
          <w:color w:val="396230"/>
          <w:w w:val="95"/>
        </w:rPr>
        <w:t>connectivity,</w:t>
      </w:r>
      <w:r>
        <w:rPr>
          <w:color w:val="396230"/>
          <w:spacing w:val="-24"/>
          <w:w w:val="95"/>
        </w:rPr>
        <w:t> </w:t>
      </w:r>
      <w:r>
        <w:rPr>
          <w:color w:val="396230"/>
          <w:w w:val="95"/>
        </w:rPr>
        <w:t>greater </w:t>
      </w:r>
      <w:r>
        <w:rPr>
          <w:color w:val="396230"/>
          <w:w w:val="90"/>
        </w:rPr>
        <w:t>diversity</w:t>
      </w:r>
      <w:r>
        <w:rPr>
          <w:color w:val="396230"/>
          <w:spacing w:val="-30"/>
          <w:w w:val="90"/>
        </w:rPr>
        <w:t> </w:t>
      </w:r>
      <w:r>
        <w:rPr>
          <w:color w:val="396230"/>
          <w:w w:val="90"/>
        </w:rPr>
        <w:t>of</w:t>
      </w:r>
      <w:r>
        <w:rPr>
          <w:color w:val="396230"/>
          <w:spacing w:val="-28"/>
          <w:w w:val="90"/>
        </w:rPr>
        <w:t> </w:t>
      </w:r>
      <w:r>
        <w:rPr>
          <w:color w:val="396230"/>
          <w:w w:val="90"/>
        </w:rPr>
        <w:t>uses</w:t>
      </w:r>
      <w:r>
        <w:rPr>
          <w:color w:val="396230"/>
          <w:spacing w:val="-29"/>
          <w:w w:val="90"/>
        </w:rPr>
        <w:t> </w:t>
      </w:r>
      <w:r>
        <w:rPr>
          <w:color w:val="396230"/>
          <w:w w:val="90"/>
        </w:rPr>
        <w:t>on</w:t>
      </w:r>
      <w:r>
        <w:rPr>
          <w:color w:val="396230"/>
          <w:spacing w:val="-26"/>
          <w:w w:val="90"/>
        </w:rPr>
        <w:t> </w:t>
      </w:r>
      <w:r>
        <w:rPr>
          <w:color w:val="396230"/>
          <w:w w:val="90"/>
        </w:rPr>
        <w:t>the</w:t>
      </w:r>
      <w:r>
        <w:rPr>
          <w:color w:val="396230"/>
          <w:spacing w:val="-25"/>
          <w:w w:val="90"/>
        </w:rPr>
        <w:t> </w:t>
      </w:r>
      <w:r>
        <w:rPr>
          <w:color w:val="396230"/>
          <w:w w:val="90"/>
        </w:rPr>
        <w:t>same</w:t>
      </w:r>
      <w:r>
        <w:rPr>
          <w:color w:val="396230"/>
          <w:spacing w:val="-28"/>
          <w:w w:val="90"/>
        </w:rPr>
        <w:t> </w:t>
      </w:r>
      <w:r>
        <w:rPr>
          <w:color w:val="396230"/>
          <w:w w:val="90"/>
        </w:rPr>
        <w:t>street,</w:t>
      </w:r>
      <w:r>
        <w:rPr>
          <w:color w:val="396230"/>
          <w:spacing w:val="-26"/>
          <w:w w:val="90"/>
        </w:rPr>
        <w:t> </w:t>
      </w:r>
      <w:r>
        <w:rPr>
          <w:color w:val="396230"/>
          <w:w w:val="90"/>
        </w:rPr>
        <w:t>and</w:t>
      </w:r>
      <w:r>
        <w:rPr>
          <w:color w:val="396230"/>
          <w:spacing w:val="-27"/>
          <w:w w:val="90"/>
        </w:rPr>
        <w:t> </w:t>
      </w:r>
      <w:r>
        <w:rPr>
          <w:color w:val="396230"/>
          <w:w w:val="90"/>
        </w:rPr>
        <w:t>connected</w:t>
      </w:r>
      <w:r>
        <w:rPr>
          <w:color w:val="396230"/>
          <w:spacing w:val="-27"/>
          <w:w w:val="90"/>
        </w:rPr>
        <w:t> </w:t>
      </w:r>
      <w:r>
        <w:rPr>
          <w:color w:val="396230"/>
          <w:w w:val="90"/>
        </w:rPr>
        <w:t>open</w:t>
      </w:r>
      <w:r>
        <w:rPr>
          <w:color w:val="396230"/>
          <w:spacing w:val="-26"/>
          <w:w w:val="90"/>
        </w:rPr>
        <w:t> </w:t>
      </w:r>
      <w:r>
        <w:rPr>
          <w:color w:val="396230"/>
          <w:w w:val="90"/>
        </w:rPr>
        <w:t>spaces</w:t>
      </w:r>
      <w:r>
        <w:rPr>
          <w:color w:val="396230"/>
          <w:spacing w:val="-28"/>
          <w:w w:val="90"/>
        </w:rPr>
        <w:t> </w:t>
      </w:r>
      <w:r>
        <w:rPr>
          <w:color w:val="396230"/>
          <w:w w:val="90"/>
        </w:rPr>
        <w:t>that</w:t>
      </w:r>
      <w:r>
        <w:rPr>
          <w:color w:val="396230"/>
          <w:spacing w:val="-24"/>
          <w:w w:val="90"/>
        </w:rPr>
        <w:t> </w:t>
      </w:r>
      <w:r>
        <w:rPr>
          <w:color w:val="396230"/>
          <w:w w:val="90"/>
        </w:rPr>
        <w:t>facilitate</w:t>
      </w:r>
      <w:r>
        <w:rPr>
          <w:color w:val="396230"/>
          <w:spacing w:val="-28"/>
          <w:w w:val="90"/>
        </w:rPr>
        <w:t> </w:t>
      </w:r>
      <w:r>
        <w:rPr>
          <w:color w:val="396230"/>
          <w:w w:val="90"/>
        </w:rPr>
        <w:t>social </w:t>
      </w:r>
      <w:r>
        <w:rPr>
          <w:color w:val="396230"/>
        </w:rPr>
        <w:t>interaction</w:t>
      </w:r>
      <w:r>
        <w:rPr>
          <w:color w:val="396230"/>
          <w:spacing w:val="-28"/>
        </w:rPr>
        <w:t> </w:t>
      </w:r>
      <w:r>
        <w:rPr>
          <w:color w:val="396230"/>
        </w:rPr>
        <w:t>and</w:t>
      </w:r>
      <w:r>
        <w:rPr>
          <w:color w:val="396230"/>
          <w:spacing w:val="-29"/>
        </w:rPr>
        <w:t> </w:t>
      </w:r>
      <w:r>
        <w:rPr>
          <w:color w:val="396230"/>
        </w:rPr>
        <w:t>offer</w:t>
      </w:r>
      <w:r>
        <w:rPr>
          <w:color w:val="396230"/>
          <w:spacing w:val="-29"/>
        </w:rPr>
        <w:t> </w:t>
      </w:r>
      <w:r>
        <w:rPr>
          <w:color w:val="396230"/>
        </w:rPr>
        <w:t>affordable</w:t>
      </w:r>
      <w:r>
        <w:rPr>
          <w:color w:val="396230"/>
          <w:spacing w:val="-29"/>
        </w:rPr>
        <w:t> </w:t>
      </w:r>
      <w:r>
        <w:rPr>
          <w:color w:val="396230"/>
        </w:rPr>
        <w:t>and</w:t>
      </w:r>
      <w:r>
        <w:rPr>
          <w:color w:val="396230"/>
          <w:spacing w:val="-29"/>
        </w:rPr>
        <w:t> </w:t>
      </w:r>
      <w:r>
        <w:rPr>
          <w:color w:val="396230"/>
        </w:rPr>
        <w:t>convenient</w:t>
      </w:r>
      <w:r>
        <w:rPr>
          <w:color w:val="396230"/>
          <w:spacing w:val="-29"/>
        </w:rPr>
        <w:t> </w:t>
      </w:r>
      <w:r>
        <w:rPr>
          <w:color w:val="396230"/>
        </w:rPr>
        <w:t>lifestyles.</w:t>
      </w:r>
    </w:p>
    <w:p>
      <w:pPr>
        <w:spacing w:line="264" w:lineRule="exact" w:before="193"/>
        <w:ind w:left="100" w:right="0" w:firstLine="0"/>
        <w:jc w:val="left"/>
        <w:rPr>
          <w:rFonts w:ascii="Verdana"/>
          <w:sz w:val="22"/>
        </w:rPr>
      </w:pPr>
      <w:r>
        <w:rPr>
          <w:rFonts w:ascii="Verdana"/>
          <w:sz w:val="22"/>
          <w:u w:val="single"/>
        </w:rPr>
        <w:t>Strategy</w:t>
      </w:r>
    </w:p>
    <w:p>
      <w:pPr>
        <w:pStyle w:val="ListParagraph"/>
        <w:numPr>
          <w:ilvl w:val="1"/>
          <w:numId w:val="5"/>
        </w:numPr>
        <w:tabs>
          <w:tab w:pos="1001" w:val="left" w:leader="none"/>
        </w:tabs>
        <w:spacing w:line="240" w:lineRule="auto" w:before="0" w:after="0"/>
        <w:ind w:left="1000" w:right="118" w:hanging="540"/>
        <w:jc w:val="left"/>
        <w:rPr>
          <w:sz w:val="24"/>
        </w:rPr>
      </w:pPr>
      <w:r>
        <w:rPr>
          <w:sz w:val="24"/>
        </w:rPr>
        <w:t>Ensure related County guidelines and regulations encourage this compact, walkable development</w:t>
      </w:r>
      <w:r>
        <w:rPr>
          <w:spacing w:val="-1"/>
          <w:sz w:val="24"/>
        </w:rPr>
        <w:t> </w:t>
      </w:r>
      <w:r>
        <w:rPr>
          <w:sz w:val="24"/>
        </w:rPr>
        <w:t>pattern.</w:t>
      </w:r>
    </w:p>
    <w:p>
      <w:pPr>
        <w:pStyle w:val="BodyText"/>
        <w:spacing w:before="6"/>
        <w:ind w:left="0" w:firstLine="0"/>
        <w:rPr>
          <w:sz w:val="21"/>
        </w:rPr>
      </w:pPr>
    </w:p>
    <w:p>
      <w:pPr>
        <w:spacing w:line="263" w:lineRule="exact" w:before="0"/>
        <w:ind w:left="460" w:right="0" w:firstLine="0"/>
        <w:jc w:val="left"/>
        <w:rPr>
          <w:rFonts w:ascii="Verdana"/>
          <w:sz w:val="22"/>
        </w:rPr>
      </w:pPr>
      <w:r>
        <w:rPr>
          <w:rFonts w:ascii="Verdana"/>
          <w:sz w:val="22"/>
          <w:u w:val="single"/>
        </w:rPr>
        <w:t>Action</w:t>
      </w:r>
    </w:p>
    <w:p>
      <w:pPr>
        <w:pStyle w:val="ListParagraph"/>
        <w:numPr>
          <w:ilvl w:val="2"/>
          <w:numId w:val="5"/>
        </w:numPr>
        <w:tabs>
          <w:tab w:pos="1181" w:val="left" w:leader="none"/>
        </w:tabs>
        <w:spacing w:line="272" w:lineRule="exact" w:before="0" w:after="0"/>
        <w:ind w:left="1180" w:right="0" w:hanging="360"/>
        <w:jc w:val="left"/>
        <w:rPr>
          <w:sz w:val="24"/>
        </w:rPr>
      </w:pPr>
      <w:r>
        <w:rPr>
          <w:sz w:val="24"/>
        </w:rPr>
        <w:t>Update County regulations to support this compact, walkable development</w:t>
      </w:r>
      <w:r>
        <w:rPr>
          <w:spacing w:val="-7"/>
          <w:sz w:val="24"/>
        </w:rPr>
        <w:t> </w:t>
      </w:r>
      <w:r>
        <w:rPr>
          <w:sz w:val="24"/>
        </w:rPr>
        <w:t>pattern.</w:t>
      </w:r>
    </w:p>
    <w:p>
      <w:pPr>
        <w:pStyle w:val="Heading5"/>
        <w:spacing w:before="213"/>
        <w:jc w:val="left"/>
      </w:pPr>
      <w:r>
        <w:rPr>
          <w:color w:val="396230"/>
          <w:w w:val="95"/>
        </w:rPr>
        <w:t>QD</w:t>
      </w:r>
      <w:r>
        <w:rPr>
          <w:color w:val="396230"/>
          <w:spacing w:val="-33"/>
          <w:w w:val="95"/>
        </w:rPr>
        <w:t> </w:t>
      </w:r>
      <w:r>
        <w:rPr>
          <w:color w:val="396230"/>
          <w:w w:val="95"/>
        </w:rPr>
        <w:t>Policy</w:t>
      </w:r>
      <w:r>
        <w:rPr>
          <w:color w:val="396230"/>
          <w:spacing w:val="-33"/>
          <w:w w:val="95"/>
        </w:rPr>
        <w:t> </w:t>
      </w:r>
      <w:r>
        <w:rPr>
          <w:color w:val="396230"/>
          <w:w w:val="95"/>
        </w:rPr>
        <w:t>3:</w:t>
      </w:r>
      <w:r>
        <w:rPr>
          <w:color w:val="396230"/>
          <w:spacing w:val="-33"/>
          <w:w w:val="95"/>
        </w:rPr>
        <w:t> </w:t>
      </w:r>
      <w:r>
        <w:rPr>
          <w:color w:val="396230"/>
          <w:w w:val="95"/>
        </w:rPr>
        <w:t>Development</w:t>
      </w:r>
      <w:r>
        <w:rPr>
          <w:color w:val="396230"/>
          <w:spacing w:val="-31"/>
          <w:w w:val="95"/>
        </w:rPr>
        <w:t> </w:t>
      </w:r>
      <w:r>
        <w:rPr>
          <w:color w:val="396230"/>
          <w:w w:val="95"/>
        </w:rPr>
        <w:t>should</w:t>
      </w:r>
      <w:r>
        <w:rPr>
          <w:color w:val="396230"/>
          <w:spacing w:val="-32"/>
          <w:w w:val="95"/>
        </w:rPr>
        <w:t> </w:t>
      </w:r>
      <w:r>
        <w:rPr>
          <w:color w:val="396230"/>
          <w:w w:val="95"/>
        </w:rPr>
        <w:t>provide</w:t>
      </w:r>
      <w:r>
        <w:rPr>
          <w:color w:val="396230"/>
          <w:spacing w:val="-32"/>
          <w:w w:val="95"/>
        </w:rPr>
        <w:t> </w:t>
      </w:r>
      <w:r>
        <w:rPr>
          <w:color w:val="396230"/>
          <w:w w:val="95"/>
        </w:rPr>
        <w:t>diverse</w:t>
      </w:r>
      <w:r>
        <w:rPr>
          <w:color w:val="396230"/>
          <w:spacing w:val="-32"/>
          <w:w w:val="95"/>
        </w:rPr>
        <w:t> </w:t>
      </w:r>
      <w:r>
        <w:rPr>
          <w:color w:val="396230"/>
          <w:w w:val="95"/>
        </w:rPr>
        <w:t>environments</w:t>
      </w:r>
      <w:r>
        <w:rPr>
          <w:color w:val="396230"/>
          <w:spacing w:val="-33"/>
          <w:w w:val="95"/>
        </w:rPr>
        <w:t> </w:t>
      </w:r>
      <w:r>
        <w:rPr>
          <w:color w:val="396230"/>
          <w:w w:val="95"/>
        </w:rPr>
        <w:t>and</w:t>
      </w:r>
      <w:r>
        <w:rPr>
          <w:color w:val="396230"/>
          <w:spacing w:val="-32"/>
          <w:w w:val="95"/>
        </w:rPr>
        <w:t> </w:t>
      </w:r>
      <w:r>
        <w:rPr>
          <w:color w:val="396230"/>
          <w:w w:val="95"/>
        </w:rPr>
        <w:t>experiences.</w:t>
      </w:r>
    </w:p>
    <w:p>
      <w:pPr>
        <w:spacing w:line="263" w:lineRule="exact" w:before="197"/>
        <w:ind w:left="100" w:right="0" w:firstLine="0"/>
        <w:jc w:val="left"/>
        <w:rPr>
          <w:rFonts w:ascii="Verdana"/>
          <w:sz w:val="22"/>
        </w:rPr>
      </w:pPr>
      <w:r>
        <w:rPr>
          <w:rFonts w:ascii="Verdana"/>
          <w:sz w:val="22"/>
          <w:u w:val="single"/>
        </w:rPr>
        <w:t>Strategy</w:t>
      </w:r>
    </w:p>
    <w:p>
      <w:pPr>
        <w:pStyle w:val="ListParagraph"/>
        <w:numPr>
          <w:ilvl w:val="1"/>
          <w:numId w:val="6"/>
        </w:numPr>
        <w:tabs>
          <w:tab w:pos="1001" w:val="left" w:leader="none"/>
        </w:tabs>
        <w:spacing w:line="240" w:lineRule="auto" w:before="0" w:after="0"/>
        <w:ind w:left="1000" w:right="123" w:hanging="540"/>
        <w:jc w:val="left"/>
        <w:rPr>
          <w:sz w:val="24"/>
        </w:rPr>
      </w:pPr>
      <w:r>
        <w:rPr>
          <w:sz w:val="24"/>
        </w:rPr>
        <w:t>Ensure development considers its context and development potential by integrating</w:t>
      </w:r>
      <w:r>
        <w:rPr>
          <w:spacing w:val="-22"/>
          <w:sz w:val="24"/>
        </w:rPr>
        <w:t> </w:t>
      </w:r>
      <w:r>
        <w:rPr>
          <w:sz w:val="24"/>
        </w:rPr>
        <w:t>uses and the natural environmental features from site to</w:t>
      </w:r>
      <w:r>
        <w:rPr>
          <w:spacing w:val="1"/>
          <w:sz w:val="24"/>
        </w:rPr>
        <w:t> </w:t>
      </w:r>
      <w:r>
        <w:rPr>
          <w:sz w:val="24"/>
        </w:rPr>
        <w:t>site.</w:t>
      </w:r>
    </w:p>
    <w:p>
      <w:pPr>
        <w:pStyle w:val="BodyText"/>
        <w:spacing w:before="4"/>
        <w:ind w:left="0" w:firstLine="0"/>
        <w:rPr>
          <w:sz w:val="21"/>
        </w:rPr>
      </w:pPr>
    </w:p>
    <w:p>
      <w:pPr>
        <w:spacing w:line="264" w:lineRule="exact" w:before="0"/>
        <w:ind w:left="460" w:right="0" w:firstLine="0"/>
        <w:jc w:val="left"/>
        <w:rPr>
          <w:rFonts w:ascii="Verdana"/>
          <w:sz w:val="22"/>
        </w:rPr>
      </w:pPr>
      <w:r>
        <w:rPr>
          <w:rFonts w:ascii="Verdana"/>
          <w:sz w:val="22"/>
          <w:u w:val="single"/>
        </w:rPr>
        <w:t>Actions</w:t>
      </w:r>
    </w:p>
    <w:p>
      <w:pPr>
        <w:pStyle w:val="ListParagraph"/>
        <w:numPr>
          <w:ilvl w:val="2"/>
          <w:numId w:val="6"/>
        </w:numPr>
        <w:tabs>
          <w:tab w:pos="1181" w:val="left" w:leader="none"/>
        </w:tabs>
        <w:spacing w:line="240" w:lineRule="auto" w:before="0" w:after="0"/>
        <w:ind w:left="1180" w:right="483" w:hanging="360"/>
        <w:jc w:val="left"/>
        <w:rPr>
          <w:sz w:val="24"/>
        </w:rPr>
      </w:pPr>
      <w:r>
        <w:rPr>
          <w:sz w:val="24"/>
        </w:rPr>
        <w:t>Develop flexible guidelines and regulations that support diverse environments and experiences.</w:t>
      </w:r>
    </w:p>
    <w:p>
      <w:pPr>
        <w:pStyle w:val="BodyText"/>
        <w:spacing w:before="7"/>
        <w:ind w:left="0" w:firstLine="0"/>
        <w:rPr>
          <w:sz w:val="20"/>
        </w:rPr>
      </w:pPr>
    </w:p>
    <w:p>
      <w:pPr>
        <w:pStyle w:val="ListParagraph"/>
        <w:numPr>
          <w:ilvl w:val="2"/>
          <w:numId w:val="6"/>
        </w:numPr>
        <w:tabs>
          <w:tab w:pos="1181" w:val="left" w:leader="none"/>
        </w:tabs>
        <w:spacing w:line="240" w:lineRule="auto" w:before="1" w:after="0"/>
        <w:ind w:left="1180" w:right="1141" w:hanging="360"/>
        <w:jc w:val="left"/>
        <w:rPr>
          <w:sz w:val="24"/>
        </w:rPr>
      </w:pPr>
      <w:r>
        <w:rPr>
          <w:sz w:val="24"/>
        </w:rPr>
        <w:t>Create incentives to ensure a mix of environments and experiences within</w:t>
      </w:r>
      <w:r>
        <w:rPr>
          <w:spacing w:val="-9"/>
          <w:sz w:val="24"/>
        </w:rPr>
        <w:t> </w:t>
      </w:r>
      <w:r>
        <w:rPr>
          <w:sz w:val="24"/>
        </w:rPr>
        <w:t>a development.</w:t>
      </w:r>
    </w:p>
    <w:p>
      <w:pPr>
        <w:pStyle w:val="BodyText"/>
        <w:spacing w:before="10"/>
        <w:ind w:left="0" w:firstLine="0"/>
        <w:rPr>
          <w:sz w:val="20"/>
        </w:rPr>
      </w:pPr>
    </w:p>
    <w:p>
      <w:pPr>
        <w:pStyle w:val="ListParagraph"/>
        <w:numPr>
          <w:ilvl w:val="2"/>
          <w:numId w:val="6"/>
        </w:numPr>
        <w:tabs>
          <w:tab w:pos="1181" w:val="left" w:leader="none"/>
        </w:tabs>
        <w:spacing w:line="240" w:lineRule="auto" w:before="0" w:after="0"/>
        <w:ind w:left="1180" w:right="277" w:hanging="360"/>
        <w:jc w:val="left"/>
        <w:rPr>
          <w:i/>
          <w:sz w:val="24"/>
        </w:rPr>
      </w:pPr>
      <w:r>
        <w:rPr>
          <w:sz w:val="24"/>
        </w:rPr>
        <w:t>Use the Conservation Design process in order to integrate natural environmental features into the development. </w:t>
      </w:r>
      <w:r>
        <w:rPr>
          <w:i/>
          <w:sz w:val="24"/>
        </w:rPr>
        <w:t>(see Chapter 3 for more information on Conservation </w:t>
      </w:r>
      <w:r>
        <w:rPr>
          <w:i/>
          <w:sz w:val="24"/>
        </w:rPr>
        <w:t>Design)</w:t>
      </w:r>
    </w:p>
    <w:p>
      <w:pPr>
        <w:pStyle w:val="Heading5"/>
        <w:spacing w:before="215"/>
        <w:jc w:val="left"/>
      </w:pPr>
      <w:r>
        <w:rPr>
          <w:color w:val="396230"/>
          <w:w w:val="95"/>
        </w:rPr>
        <w:t>QD</w:t>
      </w:r>
      <w:r>
        <w:rPr>
          <w:color w:val="396230"/>
          <w:spacing w:val="-43"/>
          <w:w w:val="95"/>
        </w:rPr>
        <w:t> </w:t>
      </w:r>
      <w:r>
        <w:rPr>
          <w:color w:val="396230"/>
          <w:w w:val="95"/>
        </w:rPr>
        <w:t>Policy</w:t>
      </w:r>
      <w:r>
        <w:rPr>
          <w:color w:val="396230"/>
          <w:spacing w:val="-45"/>
          <w:w w:val="95"/>
        </w:rPr>
        <w:t> </w:t>
      </w:r>
      <w:r>
        <w:rPr>
          <w:color w:val="396230"/>
          <w:w w:val="95"/>
        </w:rPr>
        <w:t>4:</w:t>
      </w:r>
      <w:r>
        <w:rPr>
          <w:color w:val="396230"/>
          <w:spacing w:val="-43"/>
          <w:w w:val="95"/>
        </w:rPr>
        <w:t> </w:t>
      </w:r>
      <w:r>
        <w:rPr>
          <w:color w:val="396230"/>
          <w:w w:val="95"/>
        </w:rPr>
        <w:t>Design</w:t>
      </w:r>
      <w:r>
        <w:rPr>
          <w:color w:val="396230"/>
          <w:spacing w:val="-44"/>
          <w:w w:val="95"/>
        </w:rPr>
        <w:t> </w:t>
      </w:r>
      <w:r>
        <w:rPr>
          <w:color w:val="396230"/>
          <w:w w:val="95"/>
        </w:rPr>
        <w:t>spaces</w:t>
      </w:r>
      <w:r>
        <w:rPr>
          <w:color w:val="396230"/>
          <w:spacing w:val="-44"/>
          <w:w w:val="95"/>
        </w:rPr>
        <w:t> </w:t>
      </w:r>
      <w:r>
        <w:rPr>
          <w:color w:val="396230"/>
          <w:w w:val="95"/>
        </w:rPr>
        <w:t>to</w:t>
      </w:r>
      <w:r>
        <w:rPr>
          <w:color w:val="396230"/>
          <w:spacing w:val="-44"/>
          <w:w w:val="95"/>
        </w:rPr>
        <w:t> </w:t>
      </w:r>
      <w:r>
        <w:rPr>
          <w:color w:val="396230"/>
          <w:w w:val="95"/>
        </w:rPr>
        <w:t>maximize</w:t>
      </w:r>
      <w:r>
        <w:rPr>
          <w:color w:val="396230"/>
          <w:spacing w:val="-44"/>
          <w:w w:val="95"/>
        </w:rPr>
        <w:t> </w:t>
      </w:r>
      <w:r>
        <w:rPr>
          <w:color w:val="396230"/>
          <w:w w:val="95"/>
        </w:rPr>
        <w:t>pedestrian</w:t>
      </w:r>
      <w:r>
        <w:rPr>
          <w:color w:val="396230"/>
          <w:spacing w:val="-44"/>
          <w:w w:val="95"/>
        </w:rPr>
        <w:t> </w:t>
      </w:r>
      <w:r>
        <w:rPr>
          <w:color w:val="396230"/>
          <w:w w:val="95"/>
        </w:rPr>
        <w:t>and</w:t>
      </w:r>
      <w:r>
        <w:rPr>
          <w:color w:val="396230"/>
          <w:spacing w:val="-44"/>
          <w:w w:val="95"/>
        </w:rPr>
        <w:t> </w:t>
      </w:r>
      <w:r>
        <w:rPr>
          <w:color w:val="396230"/>
          <w:w w:val="95"/>
        </w:rPr>
        <w:t>bicyclist</w:t>
      </w:r>
      <w:r>
        <w:rPr>
          <w:color w:val="396230"/>
          <w:spacing w:val="-43"/>
          <w:w w:val="95"/>
        </w:rPr>
        <w:t> </w:t>
      </w:r>
      <w:r>
        <w:rPr>
          <w:color w:val="396230"/>
          <w:w w:val="95"/>
        </w:rPr>
        <w:t>activity,</w:t>
      </w:r>
      <w:r>
        <w:rPr>
          <w:color w:val="396230"/>
          <w:spacing w:val="-43"/>
          <w:w w:val="95"/>
        </w:rPr>
        <w:t> </w:t>
      </w:r>
      <w:r>
        <w:rPr>
          <w:color w:val="396230"/>
          <w:w w:val="95"/>
        </w:rPr>
        <w:t>comfort, </w:t>
      </w:r>
      <w:r>
        <w:rPr>
          <w:color w:val="396230"/>
        </w:rPr>
        <w:t>and</w:t>
      </w:r>
      <w:r>
        <w:rPr>
          <w:color w:val="396230"/>
          <w:spacing w:val="-11"/>
        </w:rPr>
        <w:t> </w:t>
      </w:r>
      <w:r>
        <w:rPr>
          <w:color w:val="396230"/>
        </w:rPr>
        <w:t>convenience.</w:t>
      </w:r>
    </w:p>
    <w:p>
      <w:pPr>
        <w:spacing w:line="264" w:lineRule="exact" w:before="273"/>
        <w:ind w:left="100" w:right="0" w:firstLine="0"/>
        <w:jc w:val="left"/>
        <w:rPr>
          <w:rFonts w:ascii="Verdana"/>
          <w:sz w:val="22"/>
        </w:rPr>
      </w:pPr>
      <w:r>
        <w:rPr>
          <w:rFonts w:ascii="Verdana"/>
          <w:sz w:val="22"/>
          <w:u w:val="single"/>
        </w:rPr>
        <w:t>Strategy</w:t>
      </w:r>
    </w:p>
    <w:p>
      <w:pPr>
        <w:pStyle w:val="ListParagraph"/>
        <w:numPr>
          <w:ilvl w:val="1"/>
          <w:numId w:val="7"/>
        </w:numPr>
        <w:tabs>
          <w:tab w:pos="1001" w:val="left" w:leader="none"/>
        </w:tabs>
        <w:spacing w:line="240" w:lineRule="auto" w:before="0" w:after="0"/>
        <w:ind w:left="1000" w:right="124" w:hanging="540"/>
        <w:jc w:val="left"/>
        <w:rPr>
          <w:sz w:val="24"/>
        </w:rPr>
      </w:pPr>
      <w:r>
        <w:rPr>
          <w:sz w:val="24"/>
        </w:rPr>
        <w:t>Development must ensure pedestrian and bicyclist connectivity and safety while pursuing high-quality</w:t>
      </w:r>
      <w:r>
        <w:rPr>
          <w:spacing w:val="-8"/>
          <w:sz w:val="24"/>
        </w:rPr>
        <w:t> </w:t>
      </w:r>
      <w:r>
        <w:rPr>
          <w:sz w:val="24"/>
        </w:rPr>
        <w:t>design.</w:t>
      </w:r>
    </w:p>
    <w:p>
      <w:pPr>
        <w:pStyle w:val="BodyText"/>
        <w:spacing w:before="6"/>
        <w:ind w:left="0" w:firstLine="0"/>
        <w:rPr>
          <w:sz w:val="21"/>
        </w:rPr>
      </w:pPr>
    </w:p>
    <w:p>
      <w:pPr>
        <w:spacing w:line="263" w:lineRule="exact" w:before="0"/>
        <w:ind w:left="460" w:right="0" w:firstLine="0"/>
        <w:jc w:val="left"/>
        <w:rPr>
          <w:rFonts w:ascii="Verdana"/>
          <w:sz w:val="22"/>
        </w:rPr>
      </w:pPr>
      <w:r>
        <w:rPr>
          <w:rFonts w:ascii="Verdana"/>
          <w:sz w:val="22"/>
          <w:u w:val="single"/>
        </w:rPr>
        <w:t>Actions</w:t>
      </w:r>
    </w:p>
    <w:p>
      <w:pPr>
        <w:pStyle w:val="ListParagraph"/>
        <w:numPr>
          <w:ilvl w:val="2"/>
          <w:numId w:val="7"/>
        </w:numPr>
        <w:tabs>
          <w:tab w:pos="1181" w:val="left" w:leader="none"/>
        </w:tabs>
        <w:spacing w:line="240" w:lineRule="auto" w:before="0" w:after="0"/>
        <w:ind w:left="1180" w:right="332" w:hanging="360"/>
        <w:jc w:val="left"/>
        <w:rPr>
          <w:sz w:val="24"/>
        </w:rPr>
      </w:pPr>
      <w:r>
        <w:rPr>
          <w:sz w:val="24"/>
        </w:rPr>
        <w:t>Create guidelines and regulations that ensure bike lanes, shared spaces, and paths of travel.</w:t>
      </w:r>
    </w:p>
    <w:p>
      <w:pPr>
        <w:pStyle w:val="BodyText"/>
        <w:spacing w:before="5"/>
        <w:ind w:left="0" w:firstLine="0"/>
        <w:rPr>
          <w:sz w:val="20"/>
        </w:rPr>
      </w:pPr>
    </w:p>
    <w:p>
      <w:pPr>
        <w:pStyle w:val="ListParagraph"/>
        <w:numPr>
          <w:ilvl w:val="2"/>
          <w:numId w:val="7"/>
        </w:numPr>
        <w:tabs>
          <w:tab w:pos="1181" w:val="left" w:leader="none"/>
        </w:tabs>
        <w:spacing w:line="240" w:lineRule="auto" w:before="0" w:after="0"/>
        <w:ind w:left="1180" w:right="0" w:hanging="360"/>
        <w:jc w:val="left"/>
        <w:rPr>
          <w:sz w:val="24"/>
        </w:rPr>
      </w:pPr>
      <w:r>
        <w:rPr>
          <w:sz w:val="24"/>
        </w:rPr>
        <w:t>Create guidelines and regulations that ensure innovative traffic calming</w:t>
      </w:r>
      <w:r>
        <w:rPr>
          <w:spacing w:val="-9"/>
          <w:sz w:val="24"/>
        </w:rPr>
        <w:t> </w:t>
      </w:r>
      <w:r>
        <w:rPr>
          <w:sz w:val="24"/>
        </w:rPr>
        <w:t>designs.</w:t>
      </w:r>
    </w:p>
    <w:p>
      <w:pPr>
        <w:spacing w:after="0" w:line="240" w:lineRule="auto"/>
        <w:jc w:val="left"/>
        <w:rPr>
          <w:sz w:val="24"/>
        </w:rPr>
        <w:sectPr>
          <w:pgSz w:w="12240" w:h="15840"/>
          <w:pgMar w:header="719" w:footer="540" w:top="1300" w:bottom="740" w:left="1340" w:right="1320"/>
        </w:sectPr>
      </w:pPr>
    </w:p>
    <w:p>
      <w:pPr>
        <w:pStyle w:val="Heading5"/>
        <w:spacing w:before="90"/>
        <w:jc w:val="left"/>
      </w:pPr>
      <w:r>
        <w:rPr>
          <w:color w:val="396230"/>
          <w:w w:val="95"/>
        </w:rPr>
        <w:t>QD</w:t>
      </w:r>
      <w:r>
        <w:rPr>
          <w:color w:val="396230"/>
          <w:spacing w:val="-40"/>
          <w:w w:val="95"/>
        </w:rPr>
        <w:t> </w:t>
      </w:r>
      <w:r>
        <w:rPr>
          <w:color w:val="396230"/>
          <w:w w:val="95"/>
        </w:rPr>
        <w:t>Policy</w:t>
      </w:r>
      <w:r>
        <w:rPr>
          <w:color w:val="396230"/>
          <w:spacing w:val="-41"/>
          <w:w w:val="95"/>
        </w:rPr>
        <w:t> </w:t>
      </w:r>
      <w:r>
        <w:rPr>
          <w:color w:val="396230"/>
          <w:w w:val="95"/>
        </w:rPr>
        <w:t>5:</w:t>
      </w:r>
      <w:r>
        <w:rPr>
          <w:color w:val="396230"/>
          <w:spacing w:val="-40"/>
          <w:w w:val="95"/>
        </w:rPr>
        <w:t> </w:t>
      </w:r>
      <w:r>
        <w:rPr>
          <w:color w:val="396230"/>
          <w:w w:val="95"/>
        </w:rPr>
        <w:t>Development</w:t>
      </w:r>
      <w:r>
        <w:rPr>
          <w:color w:val="396230"/>
          <w:spacing w:val="-39"/>
          <w:w w:val="95"/>
        </w:rPr>
        <w:t> </w:t>
      </w:r>
      <w:r>
        <w:rPr>
          <w:color w:val="396230"/>
          <w:w w:val="95"/>
        </w:rPr>
        <w:t>should</w:t>
      </w:r>
      <w:r>
        <w:rPr>
          <w:color w:val="396230"/>
          <w:spacing w:val="-40"/>
          <w:w w:val="95"/>
        </w:rPr>
        <w:t> </w:t>
      </w:r>
      <w:r>
        <w:rPr>
          <w:color w:val="396230"/>
          <w:w w:val="95"/>
        </w:rPr>
        <w:t>encourage</w:t>
      </w:r>
      <w:r>
        <w:rPr>
          <w:color w:val="396230"/>
          <w:spacing w:val="-39"/>
          <w:w w:val="95"/>
        </w:rPr>
        <w:t> </w:t>
      </w:r>
      <w:r>
        <w:rPr>
          <w:color w:val="396230"/>
          <w:w w:val="95"/>
        </w:rPr>
        <w:t>greater</w:t>
      </w:r>
      <w:r>
        <w:rPr>
          <w:color w:val="396230"/>
          <w:spacing w:val="-41"/>
          <w:w w:val="95"/>
        </w:rPr>
        <w:t> </w:t>
      </w:r>
      <w:r>
        <w:rPr>
          <w:color w:val="396230"/>
          <w:w w:val="95"/>
        </w:rPr>
        <w:t>interaction</w:t>
      </w:r>
      <w:r>
        <w:rPr>
          <w:color w:val="396230"/>
          <w:spacing w:val="-40"/>
          <w:w w:val="95"/>
        </w:rPr>
        <w:t> </w:t>
      </w:r>
      <w:r>
        <w:rPr>
          <w:color w:val="396230"/>
          <w:w w:val="95"/>
        </w:rPr>
        <w:t>between</w:t>
      </w:r>
      <w:r>
        <w:rPr>
          <w:color w:val="396230"/>
          <w:spacing w:val="-40"/>
          <w:w w:val="95"/>
        </w:rPr>
        <w:t> </w:t>
      </w:r>
      <w:r>
        <w:rPr>
          <w:color w:val="396230"/>
          <w:w w:val="95"/>
        </w:rPr>
        <w:t>activity </w:t>
      </w:r>
      <w:r>
        <w:rPr>
          <w:color w:val="396230"/>
        </w:rPr>
        <w:t>inside</w:t>
      </w:r>
      <w:r>
        <w:rPr>
          <w:color w:val="396230"/>
          <w:spacing w:val="-16"/>
        </w:rPr>
        <w:t> </w:t>
      </w:r>
      <w:r>
        <w:rPr>
          <w:color w:val="396230"/>
        </w:rPr>
        <w:t>buildings</w:t>
      </w:r>
      <w:r>
        <w:rPr>
          <w:color w:val="396230"/>
          <w:spacing w:val="-15"/>
        </w:rPr>
        <w:t> </w:t>
      </w:r>
      <w:r>
        <w:rPr>
          <w:color w:val="396230"/>
        </w:rPr>
        <w:t>and</w:t>
      </w:r>
      <w:r>
        <w:rPr>
          <w:color w:val="396230"/>
          <w:spacing w:val="-15"/>
        </w:rPr>
        <w:t> </w:t>
      </w:r>
      <w:r>
        <w:rPr>
          <w:color w:val="396230"/>
        </w:rPr>
        <w:t>the</w:t>
      </w:r>
      <w:r>
        <w:rPr>
          <w:color w:val="396230"/>
          <w:spacing w:val="-16"/>
        </w:rPr>
        <w:t> </w:t>
      </w:r>
      <w:r>
        <w:rPr>
          <w:color w:val="396230"/>
        </w:rPr>
        <w:t>public</w:t>
      </w:r>
      <w:r>
        <w:rPr>
          <w:color w:val="396230"/>
          <w:spacing w:val="-17"/>
        </w:rPr>
        <w:t> </w:t>
      </w:r>
      <w:r>
        <w:rPr>
          <w:color w:val="396230"/>
        </w:rPr>
        <w:t>realm.</w:t>
      </w:r>
    </w:p>
    <w:p>
      <w:pPr>
        <w:spacing w:line="263" w:lineRule="exact" w:before="275"/>
        <w:ind w:left="100" w:right="0" w:firstLine="0"/>
        <w:jc w:val="left"/>
        <w:rPr>
          <w:rFonts w:ascii="Verdana"/>
          <w:sz w:val="22"/>
        </w:rPr>
      </w:pPr>
      <w:r>
        <w:rPr>
          <w:rFonts w:ascii="Verdana"/>
          <w:sz w:val="22"/>
          <w:u w:val="single"/>
        </w:rPr>
        <w:t>Strategy</w:t>
      </w:r>
    </w:p>
    <w:p>
      <w:pPr>
        <w:pStyle w:val="ListParagraph"/>
        <w:numPr>
          <w:ilvl w:val="1"/>
          <w:numId w:val="8"/>
        </w:numPr>
        <w:tabs>
          <w:tab w:pos="1001" w:val="left" w:leader="none"/>
        </w:tabs>
        <w:spacing w:line="272" w:lineRule="exact" w:before="0" w:after="0"/>
        <w:ind w:left="1000" w:right="0" w:hanging="540"/>
        <w:jc w:val="left"/>
        <w:rPr>
          <w:sz w:val="24"/>
        </w:rPr>
      </w:pPr>
      <w:r>
        <w:rPr>
          <w:sz w:val="24"/>
        </w:rPr>
        <w:t>Ensure that design guidelines emphasize the quality of experience in public</w:t>
      </w:r>
      <w:r>
        <w:rPr>
          <w:spacing w:val="-9"/>
          <w:sz w:val="24"/>
        </w:rPr>
        <w:t> </w:t>
      </w:r>
      <w:r>
        <w:rPr>
          <w:sz w:val="24"/>
        </w:rPr>
        <w:t>spaces.</w:t>
      </w:r>
    </w:p>
    <w:p>
      <w:pPr>
        <w:pStyle w:val="BodyText"/>
        <w:spacing w:before="9"/>
        <w:ind w:left="0" w:firstLine="0"/>
        <w:rPr>
          <w:sz w:val="21"/>
        </w:rPr>
      </w:pPr>
    </w:p>
    <w:p>
      <w:pPr>
        <w:spacing w:line="263" w:lineRule="exact" w:before="0"/>
        <w:ind w:left="460" w:right="0" w:firstLine="0"/>
        <w:jc w:val="left"/>
        <w:rPr>
          <w:rFonts w:ascii="Verdana"/>
          <w:sz w:val="22"/>
        </w:rPr>
      </w:pPr>
      <w:r>
        <w:rPr>
          <w:rFonts w:ascii="Verdana"/>
          <w:sz w:val="22"/>
          <w:u w:val="single"/>
        </w:rPr>
        <w:t>Action</w:t>
      </w:r>
    </w:p>
    <w:p>
      <w:pPr>
        <w:pStyle w:val="ListParagraph"/>
        <w:numPr>
          <w:ilvl w:val="2"/>
          <w:numId w:val="8"/>
        </w:numPr>
        <w:tabs>
          <w:tab w:pos="1181" w:val="left" w:leader="none"/>
        </w:tabs>
        <w:spacing w:line="240" w:lineRule="auto" w:before="0" w:after="0"/>
        <w:ind w:left="1180" w:right="227" w:hanging="360"/>
        <w:jc w:val="left"/>
        <w:rPr>
          <w:sz w:val="24"/>
        </w:rPr>
      </w:pPr>
      <w:r>
        <w:rPr/>
        <w:pict>
          <v:shape style="position:absolute;margin-left:90.066002pt;margin-top:17.693077pt;width:395.3pt;height:419pt;mso-position-horizontal-relative:page;mso-position-vertical-relative:paragraph;z-index:-10528" coordorigin="1801,354" coordsize="7906,8380" path="m4498,7618l4492,7544,4477,7466,4455,7383,4432,7314,4402,7242,4367,7167,4325,7089,4276,7008,4236,6949,4200,6899,4200,7584,4197,7641,4185,7697,4167,7755,4138,7815,4097,7877,4044,7943,3979,8013,3674,8318,2216,6860,2517,6560,2598,6484,2672,6424,2740,6380,2801,6354,2868,6339,2941,6335,3020,6342,3105,6360,3195,6389,3255,6415,3317,6447,3380,6485,3446,6530,3514,6582,3584,6640,3656,6705,3729,6776,3789,6838,3844,6898,3896,6957,3943,7015,3986,7071,4024,7127,4059,7180,4101,7255,4136,7327,4163,7397,4183,7464,4196,7528,4200,7584,4200,6899,4194,6890,4148,6830,4098,6769,4045,6708,3989,6647,3929,6585,3865,6523,3801,6464,3737,6409,3673,6358,3643,6335,3609,6310,3546,6265,3482,6224,3419,6186,3346,6149,3274,6116,3203,6089,3132,6067,3062,6050,2992,6038,2923,6031,2850,6029,2779,6036,2709,6051,2642,6074,2577,6104,2528,6132,2476,6169,2420,6215,2359,6269,2294,6332,1801,6825,3710,8733,4124,8318,4226,8216,4287,8151,4341,8086,4386,8020,4424,7953,4454,7887,4476,7821,4491,7754,4498,7686,4498,7618m6418,6024l6056,5897,5650,5754,5561,5725,5475,5701,5393,5682,5364,5676,5314,5667,5239,5657,5193,5656,5143,5659,5089,5666,5030,5676,5074,5607,5109,5537,5136,5468,5154,5399,5164,5331,5165,5263,5157,5195,5139,5117,5111,5041,5075,4966,5030,4893,4976,4823,4956,4800,4913,4754,4872,4716,4872,5273,4868,5329,4854,5384,4830,5440,4794,5499,4747,5560,4687,5623,4413,5897,4280,6030,3649,5399,4102,4946,4166,4889,4229,4846,4293,4816,4358,4801,4422,4800,4501,4815,4577,4845,4649,4890,4718,4949,4761,4997,4797,5048,4827,5101,4851,5158,4867,5216,4872,5273,4872,4716,4849,4694,4782,4642,4713,4597,4641,4558,4566,4526,4474,4498,4386,4485,4303,4487,4225,4503,4163,4528,4098,4564,4030,4612,3958,4672,3883,4743,3248,5378,5157,7286,5346,7096,4499,6249,4718,6030,4753,5996,4783,5968,4810,5947,4833,5933,4863,5919,4896,5909,4932,5901,4971,5897,5014,5897,5066,5902,5125,5912,5194,5929,5256,5946,5328,5967,5407,5992,5496,6021,6180,6262,6418,6024m7780,4662l7415,4467,6555,4013,6555,4320,6070,4805,5989,4662,5748,4231,5708,4160,5668,4088,5629,4023,5590,3958,5550,3894,5509,3831,5467,3769,5424,3707,5380,3647,5436,3682,5498,3720,5564,3760,5635,3802,5792,3893,6555,4320,6555,4013,5862,3647,5286,3340,5082,3544,5277,3894,5316,3965,5701,4662,6168,5511,6441,6002,6642,5801,6565,5667,6298,5199,6221,5065,6481,4805,6820,4467,7565,4878,7780,4662m8131,4312l7264,3445,7489,3219,7936,2773,7711,2548,7039,3219,6448,2629,7224,1852,6999,1627,6033,2593,7941,4501,8131,4312m9707,2736l8213,1242,8024,1053,8497,579,8272,354,7138,1488,7363,1714,7834,1242,9517,2925,9707,2736e" filled="true" fillcolor="#c0c0c0" stroked="false">
            <v:path arrowok="t"/>
            <v:fill opacity="32896f" type="solid"/>
            <w10:wrap type="none"/>
          </v:shape>
        </w:pict>
      </w:r>
      <w:r>
        <w:rPr>
          <w:sz w:val="24"/>
        </w:rPr>
        <w:t>Develop eye-level design guidelines, regulatory features, and additional design elements that contribute to the quality of the human experience of space and the built environment.</w:t>
      </w:r>
    </w:p>
    <w:p>
      <w:pPr>
        <w:pStyle w:val="Heading5"/>
        <w:spacing w:before="211"/>
        <w:ind w:right="113"/>
      </w:pPr>
      <w:r>
        <w:rPr>
          <w:color w:val="396230"/>
        </w:rPr>
        <w:t>QD</w:t>
      </w:r>
      <w:r>
        <w:rPr>
          <w:color w:val="396230"/>
          <w:spacing w:val="-45"/>
        </w:rPr>
        <w:t> </w:t>
      </w:r>
      <w:r>
        <w:rPr>
          <w:color w:val="396230"/>
        </w:rPr>
        <w:t>Policy</w:t>
      </w:r>
      <w:r>
        <w:rPr>
          <w:color w:val="396230"/>
          <w:spacing w:val="-47"/>
        </w:rPr>
        <w:t> </w:t>
      </w:r>
      <w:r>
        <w:rPr>
          <w:color w:val="396230"/>
        </w:rPr>
        <w:t>6:</w:t>
      </w:r>
      <w:r>
        <w:rPr>
          <w:color w:val="396230"/>
          <w:spacing w:val="-46"/>
        </w:rPr>
        <w:t> </w:t>
      </w:r>
      <w:r>
        <w:rPr>
          <w:color w:val="396230"/>
        </w:rPr>
        <w:t>Developments</w:t>
      </w:r>
      <w:r>
        <w:rPr>
          <w:color w:val="396230"/>
          <w:spacing w:val="-45"/>
        </w:rPr>
        <w:t> </w:t>
      </w:r>
      <w:r>
        <w:rPr>
          <w:color w:val="396230"/>
        </w:rPr>
        <w:t>should</w:t>
      </w:r>
      <w:r>
        <w:rPr>
          <w:color w:val="396230"/>
          <w:spacing w:val="-46"/>
        </w:rPr>
        <w:t> </w:t>
      </w:r>
      <w:r>
        <w:rPr>
          <w:color w:val="396230"/>
        </w:rPr>
        <w:t>possess</w:t>
      </w:r>
      <w:r>
        <w:rPr>
          <w:color w:val="396230"/>
          <w:spacing w:val="-45"/>
        </w:rPr>
        <w:t> </w:t>
      </w:r>
      <w:r>
        <w:rPr>
          <w:color w:val="396230"/>
        </w:rPr>
        <w:t>a</w:t>
      </w:r>
      <w:r>
        <w:rPr>
          <w:color w:val="396230"/>
          <w:spacing w:val="-46"/>
        </w:rPr>
        <w:t> </w:t>
      </w:r>
      <w:r>
        <w:rPr>
          <w:color w:val="396230"/>
        </w:rPr>
        <w:t>high-quality</w:t>
      </w:r>
      <w:r>
        <w:rPr>
          <w:color w:val="396230"/>
          <w:spacing w:val="-46"/>
        </w:rPr>
        <w:t> </w:t>
      </w:r>
      <w:r>
        <w:rPr>
          <w:color w:val="396230"/>
        </w:rPr>
        <w:t>of</w:t>
      </w:r>
      <w:r>
        <w:rPr>
          <w:color w:val="396230"/>
          <w:spacing w:val="-46"/>
        </w:rPr>
        <w:t> </w:t>
      </w:r>
      <w:r>
        <w:rPr>
          <w:color w:val="396230"/>
        </w:rPr>
        <w:t>design</w:t>
      </w:r>
      <w:r>
        <w:rPr>
          <w:color w:val="396230"/>
          <w:spacing w:val="-45"/>
        </w:rPr>
        <w:t> </w:t>
      </w:r>
      <w:r>
        <w:rPr>
          <w:color w:val="396230"/>
        </w:rPr>
        <w:t>and</w:t>
      </w:r>
      <w:r>
        <w:rPr>
          <w:color w:val="396230"/>
          <w:spacing w:val="-45"/>
        </w:rPr>
        <w:t> </w:t>
      </w:r>
      <w:r>
        <w:rPr>
          <w:color w:val="396230"/>
        </w:rPr>
        <w:t>a</w:t>
      </w:r>
      <w:r>
        <w:rPr>
          <w:color w:val="396230"/>
          <w:spacing w:val="-45"/>
        </w:rPr>
        <w:t> </w:t>
      </w:r>
      <w:r>
        <w:rPr>
          <w:color w:val="396230"/>
        </w:rPr>
        <w:t>mix</w:t>
      </w:r>
      <w:r>
        <w:rPr>
          <w:color w:val="396230"/>
          <w:spacing w:val="-46"/>
        </w:rPr>
        <w:t> </w:t>
      </w:r>
      <w:r>
        <w:rPr>
          <w:color w:val="396230"/>
        </w:rPr>
        <w:t>of </w:t>
      </w:r>
      <w:r>
        <w:rPr>
          <w:color w:val="396230"/>
          <w:w w:val="95"/>
        </w:rPr>
        <w:t>uses</w:t>
      </w:r>
      <w:r>
        <w:rPr>
          <w:color w:val="396230"/>
          <w:spacing w:val="-15"/>
          <w:w w:val="95"/>
        </w:rPr>
        <w:t> </w:t>
      </w:r>
      <w:r>
        <w:rPr>
          <w:color w:val="396230"/>
          <w:w w:val="95"/>
        </w:rPr>
        <w:t>to</w:t>
      </w:r>
      <w:r>
        <w:rPr>
          <w:color w:val="396230"/>
          <w:spacing w:val="-13"/>
          <w:w w:val="95"/>
        </w:rPr>
        <w:t> </w:t>
      </w:r>
      <w:r>
        <w:rPr>
          <w:color w:val="396230"/>
          <w:w w:val="95"/>
        </w:rPr>
        <w:t>encourage</w:t>
      </w:r>
      <w:r>
        <w:rPr>
          <w:color w:val="396230"/>
          <w:spacing w:val="-14"/>
          <w:w w:val="95"/>
        </w:rPr>
        <w:t> </w:t>
      </w:r>
      <w:r>
        <w:rPr>
          <w:color w:val="396230"/>
          <w:w w:val="95"/>
        </w:rPr>
        <w:t>activity</w:t>
      </w:r>
      <w:r>
        <w:rPr>
          <w:color w:val="396230"/>
          <w:spacing w:val="-15"/>
          <w:w w:val="95"/>
        </w:rPr>
        <w:t> </w:t>
      </w:r>
      <w:r>
        <w:rPr>
          <w:color w:val="396230"/>
          <w:w w:val="95"/>
        </w:rPr>
        <w:t>and</w:t>
      </w:r>
      <w:r>
        <w:rPr>
          <w:color w:val="396230"/>
          <w:spacing w:val="-14"/>
          <w:w w:val="95"/>
        </w:rPr>
        <w:t> </w:t>
      </w:r>
      <w:r>
        <w:rPr>
          <w:color w:val="396230"/>
          <w:w w:val="95"/>
        </w:rPr>
        <w:t>longer</w:t>
      </w:r>
      <w:r>
        <w:rPr>
          <w:color w:val="396230"/>
          <w:spacing w:val="-15"/>
          <w:w w:val="95"/>
        </w:rPr>
        <w:t> </w:t>
      </w:r>
      <w:r>
        <w:rPr>
          <w:color w:val="396230"/>
          <w:w w:val="95"/>
        </w:rPr>
        <w:t>stays</w:t>
      </w:r>
      <w:r>
        <w:rPr>
          <w:color w:val="396230"/>
          <w:spacing w:val="-14"/>
          <w:w w:val="95"/>
        </w:rPr>
        <w:t> </w:t>
      </w:r>
      <w:r>
        <w:rPr>
          <w:color w:val="396230"/>
          <w:w w:val="95"/>
        </w:rPr>
        <w:t>in</w:t>
      </w:r>
      <w:r>
        <w:rPr>
          <w:color w:val="396230"/>
          <w:spacing w:val="-14"/>
          <w:w w:val="95"/>
        </w:rPr>
        <w:t> </w:t>
      </w:r>
      <w:r>
        <w:rPr>
          <w:color w:val="396230"/>
          <w:w w:val="95"/>
        </w:rPr>
        <w:t>spaces,</w:t>
      </w:r>
      <w:r>
        <w:rPr>
          <w:color w:val="396230"/>
          <w:spacing w:val="-14"/>
          <w:w w:val="95"/>
        </w:rPr>
        <w:t> </w:t>
      </w:r>
      <w:r>
        <w:rPr>
          <w:color w:val="396230"/>
          <w:w w:val="95"/>
        </w:rPr>
        <w:t>in</w:t>
      </w:r>
      <w:r>
        <w:rPr>
          <w:color w:val="396230"/>
          <w:spacing w:val="-16"/>
          <w:w w:val="95"/>
        </w:rPr>
        <w:t> </w:t>
      </w:r>
      <w:r>
        <w:rPr>
          <w:color w:val="396230"/>
          <w:w w:val="95"/>
        </w:rPr>
        <w:t>order</w:t>
      </w:r>
      <w:r>
        <w:rPr>
          <w:color w:val="396230"/>
          <w:spacing w:val="-14"/>
          <w:w w:val="95"/>
        </w:rPr>
        <w:t> </w:t>
      </w:r>
      <w:r>
        <w:rPr>
          <w:color w:val="396230"/>
          <w:w w:val="95"/>
        </w:rPr>
        <w:t>to</w:t>
      </w:r>
      <w:r>
        <w:rPr>
          <w:color w:val="396230"/>
          <w:spacing w:val="-14"/>
          <w:w w:val="95"/>
        </w:rPr>
        <w:t> </w:t>
      </w:r>
      <w:r>
        <w:rPr>
          <w:color w:val="396230"/>
          <w:w w:val="95"/>
        </w:rPr>
        <w:t>create</w:t>
      </w:r>
      <w:r>
        <w:rPr>
          <w:color w:val="396230"/>
          <w:spacing w:val="-15"/>
          <w:w w:val="95"/>
        </w:rPr>
        <w:t> </w:t>
      </w:r>
      <w:r>
        <w:rPr>
          <w:color w:val="396230"/>
          <w:w w:val="95"/>
        </w:rPr>
        <w:t>vibrant </w:t>
      </w:r>
      <w:r>
        <w:rPr>
          <w:color w:val="396230"/>
        </w:rPr>
        <w:t>areas</w:t>
      </w:r>
      <w:r>
        <w:rPr>
          <w:color w:val="396230"/>
          <w:spacing w:val="-12"/>
        </w:rPr>
        <w:t> </w:t>
      </w:r>
      <w:r>
        <w:rPr>
          <w:color w:val="396230"/>
        </w:rPr>
        <w:t>and</w:t>
      </w:r>
      <w:r>
        <w:rPr>
          <w:color w:val="396230"/>
          <w:spacing w:val="-13"/>
        </w:rPr>
        <w:t> </w:t>
      </w:r>
      <w:r>
        <w:rPr>
          <w:color w:val="396230"/>
        </w:rPr>
        <w:t>a</w:t>
      </w:r>
      <w:r>
        <w:rPr>
          <w:color w:val="396230"/>
          <w:spacing w:val="-13"/>
        </w:rPr>
        <w:t> </w:t>
      </w:r>
      <w:r>
        <w:rPr>
          <w:color w:val="396230"/>
        </w:rPr>
        <w:t>sense</w:t>
      </w:r>
      <w:r>
        <w:rPr>
          <w:color w:val="396230"/>
          <w:spacing w:val="-13"/>
        </w:rPr>
        <w:t> </w:t>
      </w:r>
      <w:r>
        <w:rPr>
          <w:color w:val="396230"/>
        </w:rPr>
        <w:t>of</w:t>
      </w:r>
      <w:r>
        <w:rPr>
          <w:color w:val="396230"/>
          <w:spacing w:val="-16"/>
        </w:rPr>
        <w:t> </w:t>
      </w:r>
      <w:r>
        <w:rPr>
          <w:color w:val="396230"/>
        </w:rPr>
        <w:t>place.</w:t>
      </w:r>
    </w:p>
    <w:p>
      <w:pPr>
        <w:spacing w:line="264" w:lineRule="exact" w:before="274"/>
        <w:ind w:left="100" w:right="0" w:firstLine="0"/>
        <w:jc w:val="left"/>
        <w:rPr>
          <w:rFonts w:ascii="Verdana"/>
          <w:sz w:val="22"/>
        </w:rPr>
      </w:pPr>
      <w:r>
        <w:rPr>
          <w:rFonts w:ascii="Verdana"/>
          <w:sz w:val="22"/>
          <w:u w:val="single"/>
        </w:rPr>
        <w:t>Strategy</w:t>
      </w:r>
    </w:p>
    <w:p>
      <w:pPr>
        <w:pStyle w:val="ListParagraph"/>
        <w:numPr>
          <w:ilvl w:val="1"/>
          <w:numId w:val="9"/>
        </w:numPr>
        <w:tabs>
          <w:tab w:pos="1001" w:val="left" w:leader="none"/>
        </w:tabs>
        <w:spacing w:line="240" w:lineRule="auto" w:before="0" w:after="0"/>
        <w:ind w:left="1000" w:right="117" w:hanging="540"/>
        <w:jc w:val="both"/>
        <w:rPr>
          <w:sz w:val="24"/>
        </w:rPr>
      </w:pPr>
      <w:r>
        <w:rPr>
          <w:sz w:val="24"/>
        </w:rPr>
        <w:t>Inviting areas will have high-quality design elements that encourage longer stays which increase the vibrancy of areas such as public/civic gathering spaces, outdoor rooms, public art spaces, and passive/active recreation</w:t>
      </w:r>
      <w:r>
        <w:rPr>
          <w:spacing w:val="-3"/>
          <w:sz w:val="24"/>
        </w:rPr>
        <w:t> </w:t>
      </w:r>
      <w:r>
        <w:rPr>
          <w:sz w:val="24"/>
        </w:rPr>
        <w:t>spaces.</w:t>
      </w:r>
    </w:p>
    <w:p>
      <w:pPr>
        <w:pStyle w:val="BodyText"/>
        <w:spacing w:before="6"/>
        <w:ind w:left="0" w:firstLine="0"/>
        <w:rPr>
          <w:sz w:val="21"/>
        </w:rPr>
      </w:pPr>
    </w:p>
    <w:p>
      <w:pPr>
        <w:spacing w:line="263" w:lineRule="exact" w:before="0"/>
        <w:ind w:left="460" w:right="0" w:firstLine="0"/>
        <w:jc w:val="left"/>
        <w:rPr>
          <w:rFonts w:ascii="Verdana"/>
          <w:sz w:val="22"/>
        </w:rPr>
      </w:pPr>
      <w:r>
        <w:rPr>
          <w:rFonts w:ascii="Verdana"/>
          <w:sz w:val="22"/>
          <w:u w:val="single"/>
        </w:rPr>
        <w:t>Action</w:t>
      </w:r>
    </w:p>
    <w:p>
      <w:pPr>
        <w:pStyle w:val="ListParagraph"/>
        <w:numPr>
          <w:ilvl w:val="2"/>
          <w:numId w:val="9"/>
        </w:numPr>
        <w:tabs>
          <w:tab w:pos="1181" w:val="left" w:leader="none"/>
        </w:tabs>
        <w:spacing w:line="240" w:lineRule="auto" w:before="0" w:after="0"/>
        <w:ind w:left="1180" w:right="244" w:hanging="360"/>
        <w:jc w:val="left"/>
        <w:rPr>
          <w:sz w:val="24"/>
        </w:rPr>
      </w:pPr>
      <w:r>
        <w:rPr>
          <w:sz w:val="24"/>
        </w:rPr>
        <w:t>Create guidelines that ensure the siting of public seating, art, landscaping, outdoor rooms, safety, and other innovative elements that maximize public life</w:t>
      </w:r>
      <w:r>
        <w:rPr>
          <w:spacing w:val="-9"/>
          <w:sz w:val="24"/>
        </w:rPr>
        <w:t> </w:t>
      </w:r>
      <w:r>
        <w:rPr>
          <w:sz w:val="24"/>
        </w:rPr>
        <w:t>opportunities.</w:t>
      </w:r>
    </w:p>
    <w:p>
      <w:pPr>
        <w:spacing w:after="0" w:line="240" w:lineRule="auto"/>
        <w:jc w:val="left"/>
        <w:rPr>
          <w:sz w:val="24"/>
        </w:rPr>
        <w:sectPr>
          <w:pgSz w:w="12240" w:h="15840"/>
          <w:pgMar w:header="719" w:footer="540" w:top="1300" w:bottom="740" w:left="1340" w:right="1320"/>
        </w:sectPr>
      </w:pPr>
    </w:p>
    <w:p>
      <w:pPr>
        <w:pStyle w:val="BodyText"/>
        <w:spacing w:before="9"/>
        <w:ind w:left="0" w:firstLine="0"/>
        <w:rPr>
          <w:sz w:val="22"/>
        </w:rPr>
      </w:pPr>
    </w:p>
    <w:p>
      <w:pPr>
        <w:pStyle w:val="Heading2"/>
      </w:pPr>
      <w:bookmarkStart w:name="_TOC_250000" w:id="2"/>
      <w:r>
        <w:rPr>
          <w:color w:val="1B577B"/>
        </w:rPr>
        <w:t>Infill and</w:t>
      </w:r>
      <w:r>
        <w:rPr>
          <w:color w:val="1B577B"/>
          <w:spacing w:val="-82"/>
        </w:rPr>
        <w:t> </w:t>
      </w:r>
      <w:bookmarkEnd w:id="2"/>
      <w:r>
        <w:rPr>
          <w:color w:val="1B577B"/>
        </w:rPr>
        <w:t>Redevelopment</w:t>
      </w:r>
    </w:p>
    <w:p>
      <w:pPr>
        <w:pStyle w:val="Heading3"/>
        <w:spacing w:before="55"/>
      </w:pPr>
      <w:r>
        <w:rPr>
          <w:w w:val="95"/>
        </w:rPr>
        <w:t>Vision</w:t>
      </w:r>
    </w:p>
    <w:p>
      <w:pPr>
        <w:pStyle w:val="BodyText"/>
        <w:spacing w:line="256" w:lineRule="auto" w:before="26"/>
        <w:ind w:right="118" w:firstLine="0"/>
        <w:jc w:val="both"/>
      </w:pPr>
      <w:r>
        <w:rPr/>
        <w:t>A community where careful public investment in services, facilities, and growth management</w:t>
      </w:r>
      <w:r>
        <w:rPr>
          <w:spacing w:val="-38"/>
        </w:rPr>
        <w:t> </w:t>
      </w:r>
      <w:r>
        <w:rPr/>
        <w:t>can maintain</w:t>
      </w:r>
      <w:r>
        <w:rPr>
          <w:spacing w:val="-12"/>
        </w:rPr>
        <w:t> </w:t>
      </w:r>
      <w:r>
        <w:rPr/>
        <w:t>neighborhood</w:t>
      </w:r>
      <w:r>
        <w:rPr>
          <w:spacing w:val="-12"/>
        </w:rPr>
        <w:t> </w:t>
      </w:r>
      <w:r>
        <w:rPr/>
        <w:t>vitality,</w:t>
      </w:r>
      <w:r>
        <w:rPr>
          <w:spacing w:val="-10"/>
        </w:rPr>
        <w:t> </w:t>
      </w:r>
      <w:r>
        <w:rPr/>
        <w:t>revitalize</w:t>
      </w:r>
      <w:r>
        <w:rPr>
          <w:spacing w:val="-13"/>
        </w:rPr>
        <w:t> </w:t>
      </w:r>
      <w:r>
        <w:rPr/>
        <w:t>underused</w:t>
      </w:r>
      <w:r>
        <w:rPr>
          <w:spacing w:val="-12"/>
        </w:rPr>
        <w:t> </w:t>
      </w:r>
      <w:r>
        <w:rPr/>
        <w:t>areas,</w:t>
      </w:r>
      <w:r>
        <w:rPr>
          <w:spacing w:val="-9"/>
        </w:rPr>
        <w:t> </w:t>
      </w:r>
      <w:r>
        <w:rPr/>
        <w:t>and</w:t>
      </w:r>
      <w:r>
        <w:rPr>
          <w:spacing w:val="-9"/>
        </w:rPr>
        <w:t> </w:t>
      </w:r>
      <w:r>
        <w:rPr/>
        <w:t>facilitate</w:t>
      </w:r>
      <w:r>
        <w:rPr>
          <w:spacing w:val="-11"/>
        </w:rPr>
        <w:t> </w:t>
      </w:r>
      <w:r>
        <w:rPr/>
        <w:t>complete,</w:t>
      </w:r>
      <w:r>
        <w:rPr>
          <w:spacing w:val="-12"/>
        </w:rPr>
        <w:t> </w:t>
      </w:r>
      <w:r>
        <w:rPr/>
        <w:t>connected,</w:t>
      </w:r>
      <w:r>
        <w:rPr>
          <w:spacing w:val="-13"/>
        </w:rPr>
        <w:t> </w:t>
      </w:r>
      <w:r>
        <w:rPr/>
        <w:t>and distinct</w:t>
      </w:r>
      <w:r>
        <w:rPr>
          <w:spacing w:val="-1"/>
        </w:rPr>
        <w:t> </w:t>
      </w:r>
      <w:r>
        <w:rPr/>
        <w:t>communities.</w:t>
      </w:r>
    </w:p>
    <w:p>
      <w:pPr>
        <w:pStyle w:val="Heading3"/>
        <w:spacing w:before="175"/>
      </w:pPr>
      <w:r>
        <w:rPr/>
        <w:pict>
          <v:shape style="position:absolute;margin-left:90.066002pt;margin-top:5.525901pt;width:395.3pt;height:419pt;mso-position-horizontal-relative:page;mso-position-vertical-relative:paragraph;z-index:-10504" coordorigin="1801,111" coordsize="7906,8380" path="m4498,7374l4492,7301,4477,7223,4455,7140,4432,7071,4402,6999,4367,6924,4325,6846,4276,6765,4236,6706,4200,6655,4200,7341,4197,7397,4185,7454,4167,7512,4138,7571,4097,7634,4044,7700,3979,7769,3674,8075,2216,6617,2517,6316,2598,6240,2672,6180,2740,6137,2801,6110,2868,6096,2941,6092,3020,6098,3105,6116,3195,6146,3255,6171,3317,6203,3380,6242,3446,6287,3514,6339,3584,6397,3656,6462,3729,6533,3789,6594,3844,6655,3896,6714,3943,6771,3986,6828,4024,6883,4059,6937,4101,7012,4136,7084,4163,7154,4183,7221,4196,7285,4200,7341,4200,6655,4194,6646,4148,6586,4098,6526,4045,6465,3989,6403,3929,6342,3865,6280,3801,6221,3737,6166,3673,6115,3643,6092,3609,6067,3546,6022,3482,5981,3419,5943,3346,5905,3274,5873,3203,5846,3132,5824,3062,5807,2992,5795,2923,5788,2850,5786,2779,5793,2709,5808,2642,5830,2577,5861,2528,5889,2476,5926,2420,5972,2359,6026,2294,6088,1801,6582,3710,8490,4124,8075,4226,7973,4287,7908,4341,7843,4386,7777,4424,7710,4454,7644,4476,7577,4491,7510,4498,7443,4498,7374m6418,5781l6056,5654,5650,5511,5561,5481,5475,5458,5393,5438,5364,5433,5314,5424,5239,5414,5193,5412,5143,5415,5089,5422,5030,5433,5074,5363,5109,5294,5136,5225,5154,5156,5164,5087,5165,5019,5157,4952,5139,4874,5111,4797,5075,4723,5030,4650,4976,4579,4956,4557,4913,4511,4872,4472,4872,5030,4868,5086,4854,5140,4830,5197,4794,5255,4747,5316,4687,5380,4413,5654,4280,5787,3649,5156,4102,4703,4166,4646,4229,4602,4293,4573,4358,4558,4422,4557,4501,4572,4577,4602,4649,4646,4718,4706,4761,4753,4797,4804,4827,4858,4851,4915,4867,4973,4872,5030,4872,4472,4849,4451,4782,4399,4713,4353,4641,4315,4566,4283,4474,4254,4386,4241,4303,4243,4225,4259,4163,4284,4098,4321,4030,4369,3958,4429,3883,4500,3248,5134,5157,7043,5346,6853,4499,6006,4718,5787,4753,5752,4783,5725,4810,5704,4833,5690,4863,5676,4896,5665,4932,5658,4971,5654,5014,5654,5066,5659,5125,5669,5194,5686,5256,5703,5328,5724,5407,5749,5496,5778,6180,6019,6418,5781m7780,4419l7415,4224,6555,3770,6555,4077,6070,4562,5989,4419,5748,3988,5708,3916,5668,3845,5629,3779,5590,3715,5550,3651,5509,3588,5467,3525,5424,3464,5380,3403,5436,3439,5498,3477,5564,3517,5635,3559,5792,3649,6555,4077,6555,3770,5862,3403,5286,3097,5082,3301,5277,3651,5316,3721,5701,4419,6168,5268,6441,5759,6642,5557,6565,5424,6298,4956,6221,4822,6481,4562,6820,4224,7565,4635,7780,4419m8131,4068l7264,3202,7489,2976,7936,2530,7711,2304,7039,2976,6448,2385,7224,1609,6999,1384,6033,2350,7941,4258,8131,4068m9707,2492l8213,999,8024,809,8497,336,8272,111,7138,1245,7363,1470,7834,999,9517,2682,9707,2492e" filled="true" fillcolor="#c0c0c0" stroked="false">
            <v:path arrowok="t"/>
            <v:fill opacity="32896f" type="solid"/>
            <w10:wrap type="none"/>
          </v:shape>
        </w:pict>
      </w:r>
      <w:r>
        <w:rPr>
          <w:w w:val="90"/>
        </w:rPr>
        <w:t>Introduction</w:t>
      </w:r>
    </w:p>
    <w:p>
      <w:pPr>
        <w:pStyle w:val="BodyText"/>
        <w:spacing w:line="259" w:lineRule="auto" w:before="26"/>
        <w:ind w:right="113" w:firstLine="0"/>
        <w:jc w:val="both"/>
      </w:pPr>
      <w:r>
        <w:rPr>
          <w:w w:val="105"/>
        </w:rPr>
        <w:t>Loudoun</w:t>
      </w:r>
      <w:r>
        <w:rPr>
          <w:spacing w:val="-34"/>
          <w:w w:val="105"/>
        </w:rPr>
        <w:t> </w:t>
      </w:r>
      <w:r>
        <w:rPr>
          <w:w w:val="105"/>
        </w:rPr>
        <w:t>County</w:t>
      </w:r>
      <w:r>
        <w:rPr>
          <w:spacing w:val="-36"/>
          <w:w w:val="105"/>
        </w:rPr>
        <w:t> </w:t>
      </w:r>
      <w:r>
        <w:rPr>
          <w:w w:val="105"/>
        </w:rPr>
        <w:t>is</w:t>
      </w:r>
      <w:r>
        <w:rPr>
          <w:spacing w:val="-34"/>
          <w:w w:val="105"/>
        </w:rPr>
        <w:t> </w:t>
      </w:r>
      <w:r>
        <w:rPr>
          <w:w w:val="105"/>
        </w:rPr>
        <w:t>a</w:t>
      </w:r>
      <w:r>
        <w:rPr>
          <w:spacing w:val="-34"/>
          <w:w w:val="105"/>
        </w:rPr>
        <w:t> </w:t>
      </w:r>
      <w:r>
        <w:rPr>
          <w:w w:val="105"/>
        </w:rPr>
        <w:t>maturing</w:t>
      </w:r>
      <w:r>
        <w:rPr>
          <w:spacing w:val="-34"/>
          <w:w w:val="105"/>
        </w:rPr>
        <w:t> </w:t>
      </w:r>
      <w:r>
        <w:rPr>
          <w:w w:val="105"/>
        </w:rPr>
        <w:t>community.</w:t>
      </w:r>
      <w:r>
        <w:rPr>
          <w:spacing w:val="-34"/>
          <w:w w:val="105"/>
        </w:rPr>
        <w:t> </w:t>
      </w:r>
      <w:r>
        <w:rPr>
          <w:w w:val="105"/>
        </w:rPr>
        <w:t>For</w:t>
      </w:r>
      <w:r>
        <w:rPr>
          <w:spacing w:val="-34"/>
          <w:w w:val="105"/>
        </w:rPr>
        <w:t> </w:t>
      </w:r>
      <w:r>
        <w:rPr>
          <w:w w:val="105"/>
        </w:rPr>
        <w:t>the</w:t>
      </w:r>
      <w:r>
        <w:rPr>
          <w:spacing w:val="-34"/>
          <w:w w:val="105"/>
        </w:rPr>
        <w:t> </w:t>
      </w:r>
      <w:r>
        <w:rPr>
          <w:w w:val="105"/>
        </w:rPr>
        <w:t>last</w:t>
      </w:r>
      <w:r>
        <w:rPr>
          <w:spacing w:val="-34"/>
          <w:w w:val="105"/>
        </w:rPr>
        <w:t> </w:t>
      </w:r>
      <w:r>
        <w:rPr>
          <w:w w:val="105"/>
        </w:rPr>
        <w:t>several</w:t>
      </w:r>
      <w:r>
        <w:rPr>
          <w:spacing w:val="-34"/>
          <w:w w:val="105"/>
        </w:rPr>
        <w:t> </w:t>
      </w:r>
      <w:r>
        <w:rPr>
          <w:w w:val="105"/>
        </w:rPr>
        <w:t>decades,</w:t>
      </w:r>
      <w:r>
        <w:rPr>
          <w:spacing w:val="-34"/>
          <w:w w:val="105"/>
        </w:rPr>
        <w:t> </w:t>
      </w:r>
      <w:r>
        <w:rPr>
          <w:w w:val="105"/>
        </w:rPr>
        <w:t>the</w:t>
      </w:r>
      <w:r>
        <w:rPr>
          <w:spacing w:val="-34"/>
          <w:w w:val="105"/>
        </w:rPr>
        <w:t> </w:t>
      </w:r>
      <w:r>
        <w:rPr>
          <w:w w:val="105"/>
        </w:rPr>
        <w:t>approach</w:t>
      </w:r>
      <w:r>
        <w:rPr>
          <w:spacing w:val="-34"/>
          <w:w w:val="105"/>
        </w:rPr>
        <w:t> </w:t>
      </w:r>
      <w:r>
        <w:rPr>
          <w:w w:val="105"/>
        </w:rPr>
        <w:t>to</w:t>
      </w:r>
      <w:r>
        <w:rPr>
          <w:spacing w:val="-34"/>
          <w:w w:val="105"/>
        </w:rPr>
        <w:t> </w:t>
      </w:r>
      <w:r>
        <w:rPr>
          <w:w w:val="105"/>
        </w:rPr>
        <w:t>planning and</w:t>
      </w:r>
      <w:r>
        <w:rPr>
          <w:spacing w:val="-27"/>
          <w:w w:val="105"/>
        </w:rPr>
        <w:t> </w:t>
      </w:r>
      <w:r>
        <w:rPr>
          <w:w w:val="105"/>
        </w:rPr>
        <w:t>zoning</w:t>
      </w:r>
      <w:r>
        <w:rPr>
          <w:spacing w:val="-28"/>
          <w:w w:val="105"/>
        </w:rPr>
        <w:t> </w:t>
      </w:r>
      <w:r>
        <w:rPr>
          <w:w w:val="105"/>
        </w:rPr>
        <w:t>focused</w:t>
      </w:r>
      <w:r>
        <w:rPr>
          <w:spacing w:val="-27"/>
          <w:w w:val="105"/>
        </w:rPr>
        <w:t> </w:t>
      </w:r>
      <w:r>
        <w:rPr>
          <w:w w:val="105"/>
        </w:rPr>
        <w:t>on</w:t>
      </w:r>
      <w:r>
        <w:rPr>
          <w:spacing w:val="-26"/>
          <w:w w:val="105"/>
        </w:rPr>
        <w:t> </w:t>
      </w:r>
      <w:r>
        <w:rPr>
          <w:w w:val="105"/>
        </w:rPr>
        <w:t>managing</w:t>
      </w:r>
      <w:r>
        <w:rPr>
          <w:spacing w:val="-27"/>
          <w:w w:val="105"/>
        </w:rPr>
        <w:t> </w:t>
      </w:r>
      <w:r>
        <w:rPr>
          <w:w w:val="105"/>
        </w:rPr>
        <w:t>and</w:t>
      </w:r>
      <w:r>
        <w:rPr>
          <w:spacing w:val="-27"/>
          <w:w w:val="105"/>
        </w:rPr>
        <w:t> </w:t>
      </w:r>
      <w:r>
        <w:rPr>
          <w:w w:val="105"/>
        </w:rPr>
        <w:t>directing</w:t>
      </w:r>
      <w:r>
        <w:rPr>
          <w:spacing w:val="-28"/>
          <w:w w:val="105"/>
        </w:rPr>
        <w:t> </w:t>
      </w:r>
      <w:r>
        <w:rPr>
          <w:w w:val="105"/>
        </w:rPr>
        <w:t>rapid</w:t>
      </w:r>
      <w:r>
        <w:rPr>
          <w:spacing w:val="-27"/>
          <w:w w:val="105"/>
        </w:rPr>
        <w:t> </w:t>
      </w:r>
      <w:r>
        <w:rPr>
          <w:w w:val="105"/>
        </w:rPr>
        <w:t>suburban</w:t>
      </w:r>
      <w:r>
        <w:rPr>
          <w:spacing w:val="-26"/>
          <w:w w:val="105"/>
        </w:rPr>
        <w:t> </w:t>
      </w:r>
      <w:r>
        <w:rPr>
          <w:w w:val="105"/>
        </w:rPr>
        <w:t>growth</w:t>
      </w:r>
      <w:r>
        <w:rPr>
          <w:spacing w:val="-26"/>
          <w:w w:val="105"/>
        </w:rPr>
        <w:t> </w:t>
      </w:r>
      <w:r>
        <w:rPr>
          <w:w w:val="105"/>
        </w:rPr>
        <w:t>to</w:t>
      </w:r>
      <w:r>
        <w:rPr>
          <w:spacing w:val="-26"/>
          <w:w w:val="105"/>
        </w:rPr>
        <w:t> </w:t>
      </w:r>
      <w:r>
        <w:rPr>
          <w:w w:val="105"/>
        </w:rPr>
        <w:t>primarily</w:t>
      </w:r>
      <w:r>
        <w:rPr>
          <w:spacing w:val="-30"/>
          <w:w w:val="105"/>
        </w:rPr>
        <w:t> </w:t>
      </w:r>
      <w:r>
        <w:rPr>
          <w:w w:val="105"/>
        </w:rPr>
        <w:t>undeveloped land, or greenfields, in eastern Loudoun County </w:t>
      </w:r>
      <w:r>
        <w:rPr>
          <w:rFonts w:ascii="Trebuchet MS" w:hAnsi="Trebuchet MS"/>
          <w:w w:val="105"/>
        </w:rPr>
        <w:t>– </w:t>
      </w:r>
      <w:r>
        <w:rPr>
          <w:w w:val="105"/>
        </w:rPr>
        <w:t>areas designated for growth in the </w:t>
      </w:r>
      <w:r>
        <w:rPr>
          <w:i/>
          <w:w w:val="105"/>
        </w:rPr>
        <w:t>Revised </w:t>
      </w:r>
      <w:r>
        <w:rPr>
          <w:i/>
          <w:w w:val="105"/>
        </w:rPr>
        <w:t>General Plan</w:t>
      </w:r>
      <w:r>
        <w:rPr>
          <w:w w:val="105"/>
        </w:rPr>
        <w:t>. Today, much of eastern Loudoun County, known as the Suburban Policy</w:t>
      </w:r>
      <w:r>
        <w:rPr>
          <w:spacing w:val="-45"/>
          <w:w w:val="105"/>
        </w:rPr>
        <w:t> </w:t>
      </w:r>
      <w:r>
        <w:rPr>
          <w:w w:val="105"/>
        </w:rPr>
        <w:t>Area (SPA),</w:t>
      </w:r>
      <w:r>
        <w:rPr>
          <w:spacing w:val="-5"/>
          <w:w w:val="105"/>
        </w:rPr>
        <w:t> </w:t>
      </w:r>
      <w:r>
        <w:rPr>
          <w:w w:val="105"/>
        </w:rPr>
        <w:t>has</w:t>
      </w:r>
      <w:r>
        <w:rPr>
          <w:spacing w:val="-5"/>
          <w:w w:val="105"/>
        </w:rPr>
        <w:t> </w:t>
      </w:r>
      <w:r>
        <w:rPr>
          <w:w w:val="105"/>
        </w:rPr>
        <w:t>been</w:t>
      </w:r>
      <w:r>
        <w:rPr>
          <w:spacing w:val="-5"/>
          <w:w w:val="105"/>
        </w:rPr>
        <w:t> </w:t>
      </w:r>
      <w:r>
        <w:rPr>
          <w:w w:val="105"/>
        </w:rPr>
        <w:t>developed</w:t>
      </w:r>
      <w:r>
        <w:rPr>
          <w:spacing w:val="-5"/>
          <w:w w:val="105"/>
        </w:rPr>
        <w:t> </w:t>
      </w:r>
      <w:r>
        <w:rPr>
          <w:w w:val="105"/>
        </w:rPr>
        <w:t>and</w:t>
      </w:r>
      <w:r>
        <w:rPr>
          <w:spacing w:val="-5"/>
          <w:w w:val="105"/>
        </w:rPr>
        <w:t> </w:t>
      </w:r>
      <w:r>
        <w:rPr>
          <w:w w:val="105"/>
        </w:rPr>
        <w:t>there</w:t>
      </w:r>
      <w:r>
        <w:rPr>
          <w:spacing w:val="-6"/>
          <w:w w:val="105"/>
        </w:rPr>
        <w:t> </w:t>
      </w:r>
      <w:r>
        <w:rPr>
          <w:w w:val="105"/>
        </w:rPr>
        <w:t>is</w:t>
      </w:r>
      <w:r>
        <w:rPr>
          <w:spacing w:val="-5"/>
          <w:w w:val="105"/>
        </w:rPr>
        <w:t> </w:t>
      </w:r>
      <w:r>
        <w:rPr>
          <w:w w:val="105"/>
        </w:rPr>
        <w:t>a</w:t>
      </w:r>
      <w:r>
        <w:rPr>
          <w:spacing w:val="-5"/>
          <w:w w:val="105"/>
        </w:rPr>
        <w:t> </w:t>
      </w:r>
      <w:r>
        <w:rPr>
          <w:w w:val="105"/>
        </w:rPr>
        <w:t>limited</w:t>
      </w:r>
      <w:r>
        <w:rPr>
          <w:spacing w:val="-5"/>
          <w:w w:val="105"/>
        </w:rPr>
        <w:t> </w:t>
      </w:r>
      <w:r>
        <w:rPr>
          <w:w w:val="105"/>
        </w:rPr>
        <w:t>supply</w:t>
      </w:r>
      <w:r>
        <w:rPr>
          <w:spacing w:val="-10"/>
          <w:w w:val="105"/>
        </w:rPr>
        <w:t> </w:t>
      </w:r>
      <w:r>
        <w:rPr>
          <w:w w:val="105"/>
        </w:rPr>
        <w:t>of</w:t>
      </w:r>
      <w:r>
        <w:rPr>
          <w:spacing w:val="-5"/>
          <w:w w:val="105"/>
        </w:rPr>
        <w:t> </w:t>
      </w:r>
      <w:r>
        <w:rPr>
          <w:w w:val="105"/>
        </w:rPr>
        <w:t>land</w:t>
      </w:r>
      <w:r>
        <w:rPr>
          <w:spacing w:val="-5"/>
          <w:w w:val="105"/>
        </w:rPr>
        <w:t> </w:t>
      </w:r>
      <w:r>
        <w:rPr>
          <w:w w:val="105"/>
        </w:rPr>
        <w:t>remaining</w:t>
      </w:r>
      <w:r>
        <w:rPr>
          <w:spacing w:val="-7"/>
          <w:w w:val="105"/>
        </w:rPr>
        <w:t> </w:t>
      </w:r>
      <w:r>
        <w:rPr>
          <w:w w:val="105"/>
        </w:rPr>
        <w:t>for</w:t>
      </w:r>
      <w:r>
        <w:rPr>
          <w:spacing w:val="-6"/>
          <w:w w:val="105"/>
        </w:rPr>
        <w:t> </w:t>
      </w:r>
      <w:r>
        <w:rPr>
          <w:w w:val="105"/>
        </w:rPr>
        <w:t>new</w:t>
      </w:r>
      <w:r>
        <w:rPr>
          <w:spacing w:val="-3"/>
          <w:w w:val="105"/>
        </w:rPr>
        <w:t> </w:t>
      </w:r>
      <w:r>
        <w:rPr>
          <w:w w:val="105"/>
        </w:rPr>
        <w:t>greenfield development,</w:t>
      </w:r>
      <w:r>
        <w:rPr>
          <w:spacing w:val="-12"/>
          <w:w w:val="105"/>
        </w:rPr>
        <w:t> </w:t>
      </w:r>
      <w:r>
        <w:rPr>
          <w:w w:val="105"/>
        </w:rPr>
        <w:t>creating</w:t>
      </w:r>
      <w:r>
        <w:rPr>
          <w:spacing w:val="-15"/>
          <w:w w:val="105"/>
        </w:rPr>
        <w:t> </w:t>
      </w:r>
      <w:r>
        <w:rPr>
          <w:w w:val="105"/>
        </w:rPr>
        <w:t>new</w:t>
      </w:r>
      <w:r>
        <w:rPr>
          <w:spacing w:val="-12"/>
          <w:w w:val="105"/>
        </w:rPr>
        <w:t> </w:t>
      </w:r>
      <w:r>
        <w:rPr>
          <w:w w:val="105"/>
        </w:rPr>
        <w:t>planning</w:t>
      </w:r>
      <w:r>
        <w:rPr>
          <w:spacing w:val="-12"/>
          <w:w w:val="105"/>
        </w:rPr>
        <w:t> </w:t>
      </w:r>
      <w:r>
        <w:rPr>
          <w:w w:val="105"/>
        </w:rPr>
        <w:t>challenges</w:t>
      </w:r>
      <w:r>
        <w:rPr>
          <w:spacing w:val="-11"/>
          <w:w w:val="105"/>
        </w:rPr>
        <w:t> </w:t>
      </w:r>
      <w:r>
        <w:rPr>
          <w:w w:val="105"/>
        </w:rPr>
        <w:t>and</w:t>
      </w:r>
      <w:r>
        <w:rPr>
          <w:spacing w:val="-12"/>
          <w:w w:val="105"/>
        </w:rPr>
        <w:t> </w:t>
      </w:r>
      <w:r>
        <w:rPr>
          <w:w w:val="105"/>
        </w:rPr>
        <w:t>opportunities</w:t>
      </w:r>
      <w:r>
        <w:rPr>
          <w:spacing w:val="-12"/>
          <w:w w:val="105"/>
        </w:rPr>
        <w:t> </w:t>
      </w:r>
      <w:r>
        <w:rPr>
          <w:w w:val="105"/>
        </w:rPr>
        <w:t>in</w:t>
      </w:r>
      <w:r>
        <w:rPr>
          <w:spacing w:val="-12"/>
          <w:w w:val="105"/>
        </w:rPr>
        <w:t> </w:t>
      </w:r>
      <w:r>
        <w:rPr>
          <w:w w:val="105"/>
        </w:rPr>
        <w:t>this</w:t>
      </w:r>
      <w:r>
        <w:rPr>
          <w:spacing w:val="-12"/>
          <w:w w:val="105"/>
        </w:rPr>
        <w:t> </w:t>
      </w:r>
      <w:r>
        <w:rPr>
          <w:w w:val="105"/>
        </w:rPr>
        <w:t>area.</w:t>
      </w:r>
    </w:p>
    <w:p>
      <w:pPr>
        <w:pStyle w:val="BodyText"/>
        <w:spacing w:line="259" w:lineRule="auto" w:before="160"/>
        <w:ind w:right="117" w:firstLine="0"/>
        <w:jc w:val="both"/>
      </w:pPr>
      <w:r>
        <w:rPr/>
        <w:t>Some existing neighborhoods, commercial developments, and employment centers are aging, underutilized, and at risk for disinvestment and decline. Development efforts will begin placing a greater focus on redevelopment in aging areas, infill development on the few remaining vacant parcels, and adaptive reuse of existing buildings, complimented with revitalization initiatives as needed.</w:t>
      </w:r>
      <w:r>
        <w:rPr>
          <w:spacing w:val="-14"/>
        </w:rPr>
        <w:t> </w:t>
      </w:r>
      <w:r>
        <w:rPr/>
        <w:t>These</w:t>
      </w:r>
      <w:r>
        <w:rPr>
          <w:spacing w:val="-15"/>
        </w:rPr>
        <w:t> </w:t>
      </w:r>
      <w:r>
        <w:rPr/>
        <w:t>types</w:t>
      </w:r>
      <w:r>
        <w:rPr>
          <w:spacing w:val="-14"/>
        </w:rPr>
        <w:t> </w:t>
      </w:r>
      <w:r>
        <w:rPr/>
        <w:t>of</w:t>
      </w:r>
      <w:r>
        <w:rPr>
          <w:spacing w:val="-15"/>
        </w:rPr>
        <w:t> </w:t>
      </w:r>
      <w:r>
        <w:rPr/>
        <w:t>development</w:t>
      </w:r>
      <w:r>
        <w:rPr>
          <w:spacing w:val="-14"/>
        </w:rPr>
        <w:t> </w:t>
      </w:r>
      <w:r>
        <w:rPr/>
        <w:t>bring</w:t>
      </w:r>
      <w:r>
        <w:rPr>
          <w:spacing w:val="-17"/>
        </w:rPr>
        <w:t> </w:t>
      </w:r>
      <w:r>
        <w:rPr/>
        <w:t>unique</w:t>
      </w:r>
      <w:r>
        <w:rPr>
          <w:spacing w:val="-15"/>
        </w:rPr>
        <w:t> </w:t>
      </w:r>
      <w:r>
        <w:rPr/>
        <w:t>challenges</w:t>
      </w:r>
      <w:r>
        <w:rPr>
          <w:spacing w:val="-14"/>
        </w:rPr>
        <w:t> </w:t>
      </w:r>
      <w:r>
        <w:rPr/>
        <w:t>and</w:t>
      </w:r>
      <w:r>
        <w:rPr>
          <w:spacing w:val="-14"/>
        </w:rPr>
        <w:t> </w:t>
      </w:r>
      <w:r>
        <w:rPr/>
        <w:t>opportunities</w:t>
      </w:r>
      <w:r>
        <w:rPr>
          <w:spacing w:val="-14"/>
        </w:rPr>
        <w:t> </w:t>
      </w:r>
      <w:r>
        <w:rPr/>
        <w:t>inherently</w:t>
      </w:r>
      <w:r>
        <w:rPr>
          <w:spacing w:val="-19"/>
        </w:rPr>
        <w:t> </w:t>
      </w:r>
      <w:r>
        <w:rPr/>
        <w:t>different from greenfield development. The following policies and implementation steps are intended to support these development</w:t>
      </w:r>
      <w:r>
        <w:rPr>
          <w:spacing w:val="-3"/>
        </w:rPr>
        <w:t> </w:t>
      </w:r>
      <w:r>
        <w:rPr/>
        <w:t>types.</w:t>
      </w:r>
    </w:p>
    <w:p>
      <w:pPr>
        <w:pStyle w:val="Heading3"/>
        <w:spacing w:before="166"/>
      </w:pPr>
      <w:r>
        <w:rPr>
          <w:w w:val="95"/>
        </w:rPr>
        <w:t>Opportunities</w:t>
      </w:r>
    </w:p>
    <w:p>
      <w:pPr>
        <w:pStyle w:val="BodyText"/>
        <w:spacing w:line="259" w:lineRule="auto" w:before="28"/>
        <w:ind w:right="111" w:firstLine="0"/>
        <w:jc w:val="both"/>
      </w:pPr>
      <w:r>
        <w:rPr>
          <w:color w:val="201E1E"/>
        </w:rPr>
        <w:t>With redevelopment, infill development, and adaptive reuse comes opportunities.</w:t>
      </w:r>
      <w:r>
        <w:rPr>
          <w:color w:val="201E1E"/>
          <w:spacing w:val="-36"/>
        </w:rPr>
        <w:t> </w:t>
      </w:r>
      <w:r>
        <w:rPr/>
        <w:t>Redevelopment offers communities the opportunity to reimagine underutilized or underperforming sites, create unique places, and include amenities desired by residents. Infill development can maximize the use</w:t>
      </w:r>
      <w:r>
        <w:rPr>
          <w:spacing w:val="-17"/>
        </w:rPr>
        <w:t> </w:t>
      </w:r>
      <w:r>
        <w:rPr/>
        <w:t>of</w:t>
      </w:r>
      <w:r>
        <w:rPr>
          <w:spacing w:val="-17"/>
        </w:rPr>
        <w:t> </w:t>
      </w:r>
      <w:r>
        <w:rPr/>
        <w:t>public</w:t>
      </w:r>
      <w:r>
        <w:rPr>
          <w:spacing w:val="-17"/>
        </w:rPr>
        <w:t> </w:t>
      </w:r>
      <w:r>
        <w:rPr/>
        <w:t>investments</w:t>
      </w:r>
      <w:r>
        <w:rPr>
          <w:spacing w:val="-15"/>
        </w:rPr>
        <w:t> </w:t>
      </w:r>
      <w:r>
        <w:rPr/>
        <w:t>and</w:t>
      </w:r>
      <w:r>
        <w:rPr>
          <w:spacing w:val="-16"/>
        </w:rPr>
        <w:t> </w:t>
      </w:r>
      <w:r>
        <w:rPr/>
        <w:t>existing</w:t>
      </w:r>
      <w:r>
        <w:rPr>
          <w:spacing w:val="-18"/>
        </w:rPr>
        <w:t> </w:t>
      </w:r>
      <w:r>
        <w:rPr/>
        <w:t>infrastructure,</w:t>
      </w:r>
      <w:r>
        <w:rPr>
          <w:spacing w:val="-14"/>
        </w:rPr>
        <w:t> </w:t>
      </w:r>
      <w:r>
        <w:rPr/>
        <w:t>create</w:t>
      </w:r>
      <w:r>
        <w:rPr>
          <w:spacing w:val="-16"/>
        </w:rPr>
        <w:t> </w:t>
      </w:r>
      <w:r>
        <w:rPr/>
        <w:t>opportunities</w:t>
      </w:r>
      <w:r>
        <w:rPr>
          <w:spacing w:val="-16"/>
        </w:rPr>
        <w:t> </w:t>
      </w:r>
      <w:r>
        <w:rPr/>
        <w:t>to</w:t>
      </w:r>
      <w:r>
        <w:rPr>
          <w:spacing w:val="-15"/>
        </w:rPr>
        <w:t> </w:t>
      </w:r>
      <w:r>
        <w:rPr/>
        <w:t>achieve</w:t>
      </w:r>
      <w:r>
        <w:rPr>
          <w:spacing w:val="-17"/>
        </w:rPr>
        <w:t> </w:t>
      </w:r>
      <w:r>
        <w:rPr/>
        <w:t>more</w:t>
      </w:r>
      <w:r>
        <w:rPr>
          <w:spacing w:val="-17"/>
        </w:rPr>
        <w:t> </w:t>
      </w:r>
      <w:r>
        <w:rPr/>
        <w:t>cohesive development patterns, </w:t>
      </w:r>
      <w:r>
        <w:rPr>
          <w:color w:val="201E1E"/>
        </w:rPr>
        <w:t>encourage reinvestment, </w:t>
      </w:r>
      <w:r>
        <w:rPr/>
        <w:t>and better connect neighboring developments. Adaptive reuse projects can support historic preservation goals, generate activity within vacant buildings and underutilized areas, and preserve iconic or prominent buildings exemplifying community character while maintaining compatibility with the surrounding neighborhood. </w:t>
      </w:r>
      <w:r>
        <w:rPr>
          <w:color w:val="201E1E"/>
        </w:rPr>
        <w:t>Each can also provide opportunities to diversify housing stock. These projects result in upgrading or retrofitting older or substandard infrastructure for the site and surrounding area, which </w:t>
      </w:r>
      <w:r>
        <w:rPr/>
        <w:t>generally increases the value of a property and contributions to the tax</w:t>
      </w:r>
      <w:r>
        <w:rPr>
          <w:spacing w:val="-4"/>
        </w:rPr>
        <w:t> </w:t>
      </w:r>
      <w:r>
        <w:rPr/>
        <w:t>base.</w:t>
      </w:r>
    </w:p>
    <w:p>
      <w:pPr>
        <w:pStyle w:val="Heading3"/>
      </w:pPr>
      <w:r>
        <w:rPr>
          <w:w w:val="95"/>
        </w:rPr>
        <w:t>Revitalization Needs Emerging</w:t>
      </w:r>
    </w:p>
    <w:p>
      <w:pPr>
        <w:pStyle w:val="BodyText"/>
        <w:spacing w:line="256" w:lineRule="auto" w:before="25"/>
        <w:ind w:right="118" w:firstLine="0"/>
        <w:jc w:val="both"/>
      </w:pPr>
      <w:r>
        <w:rPr/>
        <w:t>Most of Loudoun County’s suburban development is relatively new, but as Loudoun’s communities continue to age, County policies and initiatives to support and enhance these neighborhoods and commercial centers will be increasingly important.</w:t>
      </w:r>
    </w:p>
    <w:p>
      <w:pPr>
        <w:pStyle w:val="BodyText"/>
        <w:spacing w:line="259" w:lineRule="auto" w:before="168"/>
        <w:ind w:right="123" w:firstLine="0"/>
        <w:jc w:val="both"/>
      </w:pPr>
      <w:r>
        <w:rPr/>
        <w:t>The Potomac and Sterling communities are two of the oldest and most diverse communities in Loudoun County. With neighborhood development beginning in the 1960s, the communities are</w:t>
      </w:r>
    </w:p>
    <w:p>
      <w:pPr>
        <w:spacing w:after="0" w:line="259" w:lineRule="auto"/>
        <w:jc w:val="both"/>
        <w:sectPr>
          <w:pgSz w:w="12240" w:h="15840"/>
          <w:pgMar w:header="719" w:footer="540" w:top="1300" w:bottom="740" w:left="1340" w:right="1320"/>
        </w:sectPr>
      </w:pPr>
    </w:p>
    <w:p>
      <w:pPr>
        <w:pStyle w:val="BodyText"/>
        <w:spacing w:line="259" w:lineRule="auto" w:before="117"/>
        <w:ind w:right="114" w:firstLine="0"/>
        <w:jc w:val="both"/>
      </w:pPr>
      <w:r>
        <w:rPr/>
        <w:t>mostly built-out. Housing stock has been in place for approximately 50 years and a need for revitalization has emerged. The 2007 recession also significantly affected Potomac and Sterling. The</w:t>
      </w:r>
      <w:r>
        <w:rPr>
          <w:spacing w:val="-14"/>
        </w:rPr>
        <w:t> </w:t>
      </w:r>
      <w:r>
        <w:rPr/>
        <w:t>largest</w:t>
      </w:r>
      <w:r>
        <w:rPr>
          <w:spacing w:val="-13"/>
        </w:rPr>
        <w:t> </w:t>
      </w:r>
      <w:r>
        <w:rPr/>
        <w:t>concentration</w:t>
      </w:r>
      <w:r>
        <w:rPr>
          <w:spacing w:val="-11"/>
        </w:rPr>
        <w:t> </w:t>
      </w:r>
      <w:r>
        <w:rPr/>
        <w:t>of</w:t>
      </w:r>
      <w:r>
        <w:rPr>
          <w:spacing w:val="-14"/>
        </w:rPr>
        <w:t> </w:t>
      </w:r>
      <w:r>
        <w:rPr/>
        <w:t>foreclosures</w:t>
      </w:r>
      <w:r>
        <w:rPr>
          <w:spacing w:val="-13"/>
        </w:rPr>
        <w:t> </w:t>
      </w:r>
      <w:r>
        <w:rPr/>
        <w:t>and</w:t>
      </w:r>
      <w:r>
        <w:rPr>
          <w:spacing w:val="-13"/>
        </w:rPr>
        <w:t> </w:t>
      </w:r>
      <w:r>
        <w:rPr/>
        <w:t>subsequent</w:t>
      </w:r>
      <w:r>
        <w:rPr>
          <w:spacing w:val="-13"/>
        </w:rPr>
        <w:t> </w:t>
      </w:r>
      <w:r>
        <w:rPr/>
        <w:t>vacancies</w:t>
      </w:r>
      <w:r>
        <w:rPr>
          <w:spacing w:val="-14"/>
        </w:rPr>
        <w:t> </w:t>
      </w:r>
      <w:r>
        <w:rPr/>
        <w:t>in</w:t>
      </w:r>
      <w:r>
        <w:rPr>
          <w:spacing w:val="-13"/>
        </w:rPr>
        <w:t> </w:t>
      </w:r>
      <w:r>
        <w:rPr/>
        <w:t>the</w:t>
      </w:r>
      <w:r>
        <w:rPr>
          <w:spacing w:val="-14"/>
        </w:rPr>
        <w:t> </w:t>
      </w:r>
      <w:r>
        <w:rPr/>
        <w:t>County</w:t>
      </w:r>
      <w:r>
        <w:rPr>
          <w:spacing w:val="-18"/>
        </w:rPr>
        <w:t> </w:t>
      </w:r>
      <w:r>
        <w:rPr/>
        <w:t>occurred</w:t>
      </w:r>
      <w:r>
        <w:rPr>
          <w:spacing w:val="-13"/>
        </w:rPr>
        <w:t> </w:t>
      </w:r>
      <w:r>
        <w:rPr/>
        <w:t>in</w:t>
      </w:r>
      <w:r>
        <w:rPr>
          <w:spacing w:val="-13"/>
        </w:rPr>
        <w:t> </w:t>
      </w:r>
      <w:r>
        <w:rPr/>
        <w:t>these communities, compounding the area’s</w:t>
      </w:r>
      <w:r>
        <w:rPr>
          <w:spacing w:val="-3"/>
        </w:rPr>
        <w:t> </w:t>
      </w:r>
      <w:r>
        <w:rPr/>
        <w:t>challenges.</w:t>
      </w:r>
    </w:p>
    <w:p>
      <w:pPr>
        <w:pStyle w:val="BodyText"/>
        <w:spacing w:line="259" w:lineRule="auto" w:before="159"/>
        <w:ind w:right="117" w:firstLine="0"/>
        <w:jc w:val="both"/>
      </w:pPr>
      <w:r>
        <w:rPr/>
        <w:pict>
          <v:shape style="position:absolute;margin-left:90.066002pt;margin-top:55.163097pt;width:395.3pt;height:419pt;mso-position-horizontal-relative:page;mso-position-vertical-relative:paragraph;z-index:-10480" coordorigin="1801,1103" coordsize="7906,8380" path="m4498,8367l4492,8294,4477,8216,4455,8133,4432,8064,4402,7991,4367,7916,4325,7838,4276,7758,4236,7699,4200,7648,4200,8334,4197,8390,4185,8447,4167,8504,4138,8564,4097,8627,4044,8693,3979,8762,3674,9068,2216,7610,2517,7309,2598,7233,2672,7173,2740,7130,2801,7103,2868,7088,2941,7084,3020,7091,3105,7109,3195,7138,3255,7164,3317,7196,3380,7235,3446,7280,3514,7331,3584,7390,3656,7454,3729,7526,3789,7587,3844,7647,3896,7706,3943,7764,3986,7821,4024,7876,4059,7930,4101,8005,4136,8077,4163,8146,4183,8213,4196,8277,4200,8334,4200,7648,4194,7639,4148,7579,4098,7519,4045,7458,3989,7396,3929,7334,3865,7272,3801,7214,3737,7159,3673,7107,3643,7084,3609,7059,3546,7015,3482,6974,3419,6936,3346,6898,3274,6866,3203,6838,3132,6816,3062,6799,2992,6787,2923,6780,2850,6779,2779,6785,2709,6800,2642,6823,2577,6853,2528,6882,2476,6919,2420,6964,2359,7019,2294,7081,1801,7574,3710,9482,4124,9068,4226,8966,4287,8901,4341,8835,4386,8770,4424,8703,4454,8636,4476,8570,4491,8503,4498,8436,4498,8367m6418,6774l6056,6646,5650,6503,5561,6474,5475,6450,5393,6431,5364,6426,5314,6417,5239,6407,5193,6405,5143,6408,5089,6415,5030,6426,5074,6356,5109,6287,5136,6218,5154,6149,5164,6080,5165,6012,5157,5944,5139,5866,5111,5790,5075,5715,5030,5643,4976,5572,4956,5549,4913,5503,4872,5465,4872,6022,4868,6078,4854,6133,4830,6189,4794,6248,4747,6309,4687,6373,4413,6646,4280,6780,3649,6148,4102,5695,4166,5638,4229,5595,4293,5566,4358,5550,4422,5549,4501,5565,4577,5594,4649,5639,4718,5699,4761,5746,4797,5797,4827,5851,4851,5907,4867,5965,4872,6022,4872,5465,4849,5444,4782,5391,4713,5346,4641,5307,4566,5275,4474,5247,4386,5234,4303,5236,4225,5252,4163,5277,4098,5314,4030,5362,3958,5421,3883,5492,3248,6127,5157,8035,5346,7846,4499,6998,4718,6780,4753,6745,4783,6718,4810,6697,4833,6682,4863,6669,4896,6658,4932,6650,4971,6646,5014,6646,5066,6651,5125,6662,5194,6678,5256,6696,5328,6716,5407,6741,5496,6771,6180,7012,6418,6774m7780,5412l7415,5216,6555,4762,6555,5069,6070,5555,5989,5412,5748,4981,5708,4909,5668,4838,5629,4772,5590,4707,5550,4644,5509,4580,5467,4518,5424,4457,5380,4396,5436,4432,5498,4470,5564,4510,5635,4552,5792,4642,6555,5069,6555,4762,5862,4396,5286,4089,5082,4293,5277,4644,5316,4714,5701,5412,6168,6260,6441,6751,6642,6550,6565,6417,6298,5948,6221,5815,6481,5555,6820,5216,7565,5627,7780,5412m8131,5061l7264,4194,7489,3969,7936,3522,7711,3297,7039,3969,6448,3378,7224,2602,6999,2377,6033,3342,7941,5250,8131,5061m9707,3485l8213,1991,8024,1802,8497,1328,8272,1103,7138,2238,7363,2463,7834,1991,9517,3674,9707,3485e" filled="true" fillcolor="#c0c0c0" stroked="false">
            <v:path arrowok="t"/>
            <v:fill opacity="32896f" type="solid"/>
            <w10:wrap type="none"/>
          </v:shape>
        </w:pict>
      </w:r>
      <w:r>
        <w:rPr/>
        <w:t>Recognizing</w:t>
      </w:r>
      <w:r>
        <w:rPr>
          <w:spacing w:val="-9"/>
        </w:rPr>
        <w:t> </w:t>
      </w:r>
      <w:r>
        <w:rPr/>
        <w:t>the</w:t>
      </w:r>
      <w:r>
        <w:rPr>
          <w:spacing w:val="-8"/>
        </w:rPr>
        <w:t> </w:t>
      </w:r>
      <w:r>
        <w:rPr/>
        <w:t>need</w:t>
      </w:r>
      <w:r>
        <w:rPr>
          <w:spacing w:val="-5"/>
        </w:rPr>
        <w:t> </w:t>
      </w:r>
      <w:r>
        <w:rPr/>
        <w:t>for</w:t>
      </w:r>
      <w:r>
        <w:rPr>
          <w:spacing w:val="-7"/>
        </w:rPr>
        <w:t> </w:t>
      </w:r>
      <w:r>
        <w:rPr/>
        <w:t>revitalization</w:t>
      </w:r>
      <w:r>
        <w:rPr>
          <w:spacing w:val="-7"/>
        </w:rPr>
        <w:t> </w:t>
      </w:r>
      <w:r>
        <w:rPr/>
        <w:t>in</w:t>
      </w:r>
      <w:r>
        <w:rPr>
          <w:spacing w:val="-7"/>
        </w:rPr>
        <w:t> </w:t>
      </w:r>
      <w:r>
        <w:rPr/>
        <w:t>Potomac</w:t>
      </w:r>
      <w:r>
        <w:rPr>
          <w:spacing w:val="-8"/>
        </w:rPr>
        <w:t> </w:t>
      </w:r>
      <w:r>
        <w:rPr/>
        <w:t>and</w:t>
      </w:r>
      <w:r>
        <w:rPr>
          <w:spacing w:val="-7"/>
        </w:rPr>
        <w:t> </w:t>
      </w:r>
      <w:r>
        <w:rPr/>
        <w:t>Sterling,</w:t>
      </w:r>
      <w:r>
        <w:rPr>
          <w:spacing w:val="-7"/>
        </w:rPr>
        <w:t> </w:t>
      </w:r>
      <w:r>
        <w:rPr/>
        <w:t>the</w:t>
      </w:r>
      <w:r>
        <w:rPr>
          <w:spacing w:val="-6"/>
        </w:rPr>
        <w:t> </w:t>
      </w:r>
      <w:r>
        <w:rPr/>
        <w:t>Loudoun</w:t>
      </w:r>
      <w:r>
        <w:rPr>
          <w:spacing w:val="-7"/>
        </w:rPr>
        <w:t> </w:t>
      </w:r>
      <w:r>
        <w:rPr/>
        <w:t>County</w:t>
      </w:r>
      <w:r>
        <w:rPr>
          <w:spacing w:val="-12"/>
        </w:rPr>
        <w:t> </w:t>
      </w:r>
      <w:r>
        <w:rPr/>
        <w:t>Department of Planning and Zoning undertook a community outreach project in 2008. During the outreach, residents</w:t>
      </w:r>
      <w:r>
        <w:rPr>
          <w:spacing w:val="-9"/>
        </w:rPr>
        <w:t> </w:t>
      </w:r>
      <w:r>
        <w:rPr/>
        <w:t>identified</w:t>
      </w:r>
      <w:r>
        <w:rPr>
          <w:spacing w:val="-10"/>
        </w:rPr>
        <w:t> </w:t>
      </w:r>
      <w:r>
        <w:rPr/>
        <w:t>needs</w:t>
      </w:r>
      <w:r>
        <w:rPr>
          <w:spacing w:val="-7"/>
        </w:rPr>
        <w:t> </w:t>
      </w:r>
      <w:r>
        <w:rPr/>
        <w:t>and</w:t>
      </w:r>
      <w:r>
        <w:rPr>
          <w:spacing w:val="-10"/>
        </w:rPr>
        <w:t> </w:t>
      </w:r>
      <w:r>
        <w:rPr/>
        <w:t>desires</w:t>
      </w:r>
      <w:r>
        <w:rPr>
          <w:spacing w:val="-9"/>
        </w:rPr>
        <w:t> </w:t>
      </w:r>
      <w:r>
        <w:rPr/>
        <w:t>to</w:t>
      </w:r>
      <w:r>
        <w:rPr>
          <w:spacing w:val="-9"/>
        </w:rPr>
        <w:t> </w:t>
      </w:r>
      <w:r>
        <w:rPr/>
        <w:t>improve</w:t>
      </w:r>
      <w:r>
        <w:rPr>
          <w:spacing w:val="-11"/>
        </w:rPr>
        <w:t> </w:t>
      </w:r>
      <w:r>
        <w:rPr/>
        <w:t>community</w:t>
      </w:r>
      <w:r>
        <w:rPr>
          <w:spacing w:val="-17"/>
        </w:rPr>
        <w:t> </w:t>
      </w:r>
      <w:r>
        <w:rPr/>
        <w:t>vitality</w:t>
      </w:r>
      <w:r>
        <w:rPr>
          <w:spacing w:val="-14"/>
        </w:rPr>
        <w:t> </w:t>
      </w:r>
      <w:r>
        <w:rPr/>
        <w:t>through</w:t>
      </w:r>
      <w:r>
        <w:rPr>
          <w:spacing w:val="-10"/>
        </w:rPr>
        <w:t> </w:t>
      </w:r>
      <w:r>
        <w:rPr/>
        <w:t>redevelopment,</w:t>
      </w:r>
      <w:r>
        <w:rPr>
          <w:spacing w:val="-9"/>
        </w:rPr>
        <w:t> </w:t>
      </w:r>
      <w:r>
        <w:rPr/>
        <w:t>infill development,</w:t>
      </w:r>
      <w:r>
        <w:rPr>
          <w:spacing w:val="-13"/>
        </w:rPr>
        <w:t> </w:t>
      </w:r>
      <w:r>
        <w:rPr/>
        <w:t>and</w:t>
      </w:r>
      <w:r>
        <w:rPr>
          <w:spacing w:val="-13"/>
        </w:rPr>
        <w:t> </w:t>
      </w:r>
      <w:r>
        <w:rPr/>
        <w:t>adaptive</w:t>
      </w:r>
      <w:r>
        <w:rPr>
          <w:spacing w:val="-14"/>
        </w:rPr>
        <w:t> </w:t>
      </w:r>
      <w:r>
        <w:rPr/>
        <w:t>reuse.</w:t>
      </w:r>
      <w:r>
        <w:rPr>
          <w:spacing w:val="-13"/>
        </w:rPr>
        <w:t> </w:t>
      </w:r>
      <w:r>
        <w:rPr/>
        <w:t>They</w:t>
      </w:r>
      <w:r>
        <w:rPr>
          <w:spacing w:val="-17"/>
        </w:rPr>
        <w:t> </w:t>
      </w:r>
      <w:r>
        <w:rPr/>
        <w:t>sought</w:t>
      </w:r>
      <w:r>
        <w:rPr>
          <w:spacing w:val="-13"/>
        </w:rPr>
        <w:t> </w:t>
      </w:r>
      <w:r>
        <w:rPr/>
        <w:t>initiatives</w:t>
      </w:r>
      <w:r>
        <w:rPr>
          <w:spacing w:val="-13"/>
        </w:rPr>
        <w:t> </w:t>
      </w:r>
      <w:r>
        <w:rPr/>
        <w:t>to</w:t>
      </w:r>
      <w:r>
        <w:rPr>
          <w:spacing w:val="-13"/>
        </w:rPr>
        <w:t> </w:t>
      </w:r>
      <w:r>
        <w:rPr/>
        <w:t>help</w:t>
      </w:r>
      <w:r>
        <w:rPr>
          <w:spacing w:val="-13"/>
        </w:rPr>
        <w:t> </w:t>
      </w:r>
      <w:r>
        <w:rPr/>
        <w:t>revitalize</w:t>
      </w:r>
      <w:r>
        <w:rPr>
          <w:spacing w:val="-14"/>
        </w:rPr>
        <w:t> </w:t>
      </w:r>
      <w:r>
        <w:rPr/>
        <w:t>areas</w:t>
      </w:r>
      <w:r>
        <w:rPr>
          <w:spacing w:val="-13"/>
        </w:rPr>
        <w:t> </w:t>
      </w:r>
      <w:r>
        <w:rPr/>
        <w:t>of</w:t>
      </w:r>
      <w:r>
        <w:rPr>
          <w:spacing w:val="-11"/>
        </w:rPr>
        <w:t> </w:t>
      </w:r>
      <w:r>
        <w:rPr/>
        <w:t>the</w:t>
      </w:r>
      <w:r>
        <w:rPr>
          <w:spacing w:val="-14"/>
        </w:rPr>
        <w:t> </w:t>
      </w:r>
      <w:r>
        <w:rPr/>
        <w:t>community. Community members expressed concerns that poor neighborhood maintenance created blight conditions and contributed to an increase in crime. Furthermore, residents worried that their neighborhoods</w:t>
      </w:r>
      <w:r>
        <w:rPr>
          <w:spacing w:val="-12"/>
        </w:rPr>
        <w:t> </w:t>
      </w:r>
      <w:r>
        <w:rPr/>
        <w:t>lacked</w:t>
      </w:r>
      <w:r>
        <w:rPr>
          <w:spacing w:val="-12"/>
        </w:rPr>
        <w:t> </w:t>
      </w:r>
      <w:r>
        <w:rPr/>
        <w:t>law</w:t>
      </w:r>
      <w:r>
        <w:rPr>
          <w:spacing w:val="-13"/>
        </w:rPr>
        <w:t> </w:t>
      </w:r>
      <w:r>
        <w:rPr/>
        <w:t>enforcement</w:t>
      </w:r>
      <w:r>
        <w:rPr>
          <w:spacing w:val="-12"/>
        </w:rPr>
        <w:t> </w:t>
      </w:r>
      <w:r>
        <w:rPr/>
        <w:t>personnel,</w:t>
      </w:r>
      <w:r>
        <w:rPr>
          <w:spacing w:val="-12"/>
        </w:rPr>
        <w:t> </w:t>
      </w:r>
      <w:r>
        <w:rPr/>
        <w:t>neighborhood</w:t>
      </w:r>
      <w:r>
        <w:rPr>
          <w:spacing w:val="-12"/>
        </w:rPr>
        <w:t> </w:t>
      </w:r>
      <w:r>
        <w:rPr/>
        <w:t>volunteer</w:t>
      </w:r>
      <w:r>
        <w:rPr>
          <w:spacing w:val="-13"/>
        </w:rPr>
        <w:t> </w:t>
      </w:r>
      <w:r>
        <w:rPr/>
        <w:t>watch</w:t>
      </w:r>
      <w:r>
        <w:rPr>
          <w:spacing w:val="-13"/>
        </w:rPr>
        <w:t> </w:t>
      </w:r>
      <w:r>
        <w:rPr/>
        <w:t>groups,</w:t>
      </w:r>
      <w:r>
        <w:rPr>
          <w:spacing w:val="-12"/>
        </w:rPr>
        <w:t> </w:t>
      </w:r>
      <w:r>
        <w:rPr/>
        <w:t>and</w:t>
      </w:r>
      <w:r>
        <w:rPr>
          <w:spacing w:val="-12"/>
        </w:rPr>
        <w:t> </w:t>
      </w:r>
      <w:r>
        <w:rPr/>
        <w:t>teen programming.</w:t>
      </w:r>
    </w:p>
    <w:p>
      <w:pPr>
        <w:pStyle w:val="BodyText"/>
        <w:spacing w:line="259" w:lineRule="auto" w:before="158"/>
        <w:ind w:right="114" w:firstLine="0"/>
        <w:jc w:val="both"/>
      </w:pPr>
      <w:r>
        <w:rPr/>
        <w:t>In recent years, Loudoun County undertook certain recommendations originating from the Potomac and Sterling community outreach project. To address the foreclosure issue and the deterioration of housing, the County made considerable investment of Community Development Block</w:t>
      </w:r>
      <w:r>
        <w:rPr>
          <w:spacing w:val="-10"/>
        </w:rPr>
        <w:t> </w:t>
      </w:r>
      <w:r>
        <w:rPr/>
        <w:t>Grants</w:t>
      </w:r>
      <w:r>
        <w:rPr>
          <w:spacing w:val="-9"/>
        </w:rPr>
        <w:t> </w:t>
      </w:r>
      <w:r>
        <w:rPr/>
        <w:t>(CDBG),</w:t>
      </w:r>
      <w:r>
        <w:rPr>
          <w:spacing w:val="-10"/>
        </w:rPr>
        <w:t> </w:t>
      </w:r>
      <w:r>
        <w:rPr/>
        <w:t>tax</w:t>
      </w:r>
      <w:r>
        <w:rPr>
          <w:spacing w:val="-6"/>
        </w:rPr>
        <w:t> </w:t>
      </w:r>
      <w:r>
        <w:rPr/>
        <w:t>dollars,</w:t>
      </w:r>
      <w:r>
        <w:rPr>
          <w:spacing w:val="-10"/>
        </w:rPr>
        <w:t> </w:t>
      </w:r>
      <w:r>
        <w:rPr/>
        <w:t>and</w:t>
      </w:r>
      <w:r>
        <w:rPr>
          <w:spacing w:val="-10"/>
        </w:rPr>
        <w:t> </w:t>
      </w:r>
      <w:r>
        <w:rPr/>
        <w:t>Neighborhood</w:t>
      </w:r>
      <w:r>
        <w:rPr>
          <w:spacing w:val="-10"/>
        </w:rPr>
        <w:t> </w:t>
      </w:r>
      <w:r>
        <w:rPr/>
        <w:t>Stabilization</w:t>
      </w:r>
      <w:r>
        <w:rPr>
          <w:spacing w:val="-10"/>
        </w:rPr>
        <w:t> </w:t>
      </w:r>
      <w:r>
        <w:rPr/>
        <w:t>funds;</w:t>
      </w:r>
      <w:r>
        <w:rPr>
          <w:spacing w:val="-10"/>
        </w:rPr>
        <w:t> </w:t>
      </w:r>
      <w:r>
        <w:rPr/>
        <w:t>provided</w:t>
      </w:r>
      <w:r>
        <w:rPr>
          <w:spacing w:val="-7"/>
        </w:rPr>
        <w:t> </w:t>
      </w:r>
      <w:r>
        <w:rPr/>
        <w:t>grants</w:t>
      </w:r>
      <w:r>
        <w:rPr>
          <w:spacing w:val="-9"/>
        </w:rPr>
        <w:t> </w:t>
      </w:r>
      <w:r>
        <w:rPr/>
        <w:t>to</w:t>
      </w:r>
      <w:r>
        <w:rPr>
          <w:spacing w:val="-7"/>
        </w:rPr>
        <w:t> </w:t>
      </w:r>
      <w:r>
        <w:rPr/>
        <w:t>non- profit housing providers to purchase and renovate homes to sell to low and moderate income families;</w:t>
      </w:r>
      <w:r>
        <w:rPr>
          <w:spacing w:val="-9"/>
        </w:rPr>
        <w:t> </w:t>
      </w:r>
      <w:r>
        <w:rPr/>
        <w:t>and</w:t>
      </w:r>
      <w:r>
        <w:rPr>
          <w:spacing w:val="-10"/>
        </w:rPr>
        <w:t> </w:t>
      </w:r>
      <w:r>
        <w:rPr/>
        <w:t>provided</w:t>
      </w:r>
      <w:r>
        <w:rPr>
          <w:spacing w:val="-10"/>
        </w:rPr>
        <w:t> </w:t>
      </w:r>
      <w:r>
        <w:rPr/>
        <w:t>direct</w:t>
      </w:r>
      <w:r>
        <w:rPr>
          <w:spacing w:val="-9"/>
        </w:rPr>
        <w:t> </w:t>
      </w:r>
      <w:r>
        <w:rPr/>
        <w:t>loans</w:t>
      </w:r>
      <w:r>
        <w:rPr>
          <w:spacing w:val="-10"/>
        </w:rPr>
        <w:t> </w:t>
      </w:r>
      <w:r>
        <w:rPr/>
        <w:t>and</w:t>
      </w:r>
      <w:r>
        <w:rPr>
          <w:spacing w:val="-10"/>
        </w:rPr>
        <w:t> </w:t>
      </w:r>
      <w:r>
        <w:rPr/>
        <w:t>grants</w:t>
      </w:r>
      <w:r>
        <w:rPr>
          <w:spacing w:val="-9"/>
        </w:rPr>
        <w:t> </w:t>
      </w:r>
      <w:r>
        <w:rPr/>
        <w:t>to</w:t>
      </w:r>
      <w:r>
        <w:rPr>
          <w:spacing w:val="-9"/>
        </w:rPr>
        <w:t> </w:t>
      </w:r>
      <w:r>
        <w:rPr/>
        <w:t>qualified</w:t>
      </w:r>
      <w:r>
        <w:rPr>
          <w:spacing w:val="-10"/>
        </w:rPr>
        <w:t> </w:t>
      </w:r>
      <w:r>
        <w:rPr/>
        <w:t>residents</w:t>
      </w:r>
      <w:r>
        <w:rPr>
          <w:spacing w:val="-9"/>
        </w:rPr>
        <w:t> </w:t>
      </w:r>
      <w:r>
        <w:rPr/>
        <w:t>through</w:t>
      </w:r>
      <w:r>
        <w:rPr>
          <w:spacing w:val="-8"/>
        </w:rPr>
        <w:t> </w:t>
      </w:r>
      <w:r>
        <w:rPr/>
        <w:t>several</w:t>
      </w:r>
      <w:r>
        <w:rPr>
          <w:spacing w:val="-9"/>
        </w:rPr>
        <w:t> </w:t>
      </w:r>
      <w:r>
        <w:rPr/>
        <w:t>programs.</w:t>
      </w:r>
      <w:r>
        <w:rPr>
          <w:spacing w:val="-7"/>
        </w:rPr>
        <w:t> </w:t>
      </w:r>
      <w:r>
        <w:rPr/>
        <w:t>The County</w:t>
      </w:r>
      <w:r>
        <w:rPr>
          <w:spacing w:val="-11"/>
        </w:rPr>
        <w:t> </w:t>
      </w:r>
      <w:r>
        <w:rPr/>
        <w:t>also</w:t>
      </w:r>
      <w:r>
        <w:rPr>
          <w:spacing w:val="-3"/>
        </w:rPr>
        <w:t> </w:t>
      </w:r>
      <w:r>
        <w:rPr/>
        <w:t>revised</w:t>
      </w:r>
      <w:r>
        <w:rPr>
          <w:spacing w:val="-4"/>
        </w:rPr>
        <w:t> </w:t>
      </w:r>
      <w:r>
        <w:rPr/>
        <w:t>the</w:t>
      </w:r>
      <w:r>
        <w:rPr>
          <w:spacing w:val="-4"/>
        </w:rPr>
        <w:t> </w:t>
      </w:r>
      <w:r>
        <w:rPr/>
        <w:t>Zoning</w:t>
      </w:r>
      <w:r>
        <w:rPr>
          <w:spacing w:val="-8"/>
        </w:rPr>
        <w:t> </w:t>
      </w:r>
      <w:r>
        <w:rPr/>
        <w:t>Ordinance</w:t>
      </w:r>
      <w:r>
        <w:rPr>
          <w:spacing w:val="-7"/>
        </w:rPr>
        <w:t> </w:t>
      </w:r>
      <w:r>
        <w:rPr/>
        <w:t>to</w:t>
      </w:r>
      <w:r>
        <w:rPr>
          <w:spacing w:val="-4"/>
        </w:rPr>
        <w:t> </w:t>
      </w:r>
      <w:r>
        <w:rPr/>
        <w:t>address</w:t>
      </w:r>
      <w:r>
        <w:rPr>
          <w:spacing w:val="-6"/>
        </w:rPr>
        <w:t> </w:t>
      </w:r>
      <w:r>
        <w:rPr/>
        <w:t>community</w:t>
      </w:r>
      <w:r>
        <w:rPr>
          <w:spacing w:val="-5"/>
        </w:rPr>
        <w:t> </w:t>
      </w:r>
      <w:r>
        <w:rPr/>
        <w:t>aesthetics,</w:t>
      </w:r>
      <w:r>
        <w:rPr>
          <w:spacing w:val="-1"/>
        </w:rPr>
        <w:t> </w:t>
      </w:r>
      <w:r>
        <w:rPr/>
        <w:t>began</w:t>
      </w:r>
      <w:r>
        <w:rPr>
          <w:spacing w:val="-6"/>
        </w:rPr>
        <w:t> </w:t>
      </w:r>
      <w:r>
        <w:rPr/>
        <w:t>proactive</w:t>
      </w:r>
      <w:r>
        <w:rPr>
          <w:spacing w:val="-5"/>
        </w:rPr>
        <w:t> </w:t>
      </w:r>
      <w:r>
        <w:rPr/>
        <w:t>code enforcement,</w:t>
      </w:r>
      <w:r>
        <w:rPr>
          <w:spacing w:val="-13"/>
        </w:rPr>
        <w:t> </w:t>
      </w:r>
      <w:r>
        <w:rPr/>
        <w:t>and</w:t>
      </w:r>
      <w:r>
        <w:rPr>
          <w:spacing w:val="-13"/>
        </w:rPr>
        <w:t> </w:t>
      </w:r>
      <w:r>
        <w:rPr/>
        <w:t>established</w:t>
      </w:r>
      <w:r>
        <w:rPr>
          <w:spacing w:val="-13"/>
        </w:rPr>
        <w:t> </w:t>
      </w:r>
      <w:r>
        <w:rPr/>
        <w:t>a</w:t>
      </w:r>
      <w:r>
        <w:rPr>
          <w:spacing w:val="-14"/>
        </w:rPr>
        <w:t> </w:t>
      </w:r>
      <w:r>
        <w:rPr/>
        <w:t>full</w:t>
      </w:r>
      <w:r>
        <w:rPr>
          <w:spacing w:val="-13"/>
        </w:rPr>
        <w:t> </w:t>
      </w:r>
      <w:r>
        <w:rPr/>
        <w:t>service</w:t>
      </w:r>
      <w:r>
        <w:rPr>
          <w:spacing w:val="-14"/>
        </w:rPr>
        <w:t> </w:t>
      </w:r>
      <w:r>
        <w:rPr/>
        <w:t>Eastern</w:t>
      </w:r>
      <w:r>
        <w:rPr>
          <w:spacing w:val="-11"/>
        </w:rPr>
        <w:t> </w:t>
      </w:r>
      <w:r>
        <w:rPr/>
        <w:t>Loudoun</w:t>
      </w:r>
      <w:r>
        <w:rPr>
          <w:spacing w:val="-13"/>
        </w:rPr>
        <w:t> </w:t>
      </w:r>
      <w:r>
        <w:rPr/>
        <w:t>Sherriff’s</w:t>
      </w:r>
      <w:r>
        <w:rPr>
          <w:spacing w:val="-13"/>
        </w:rPr>
        <w:t> </w:t>
      </w:r>
      <w:r>
        <w:rPr/>
        <w:t>Substation</w:t>
      </w:r>
      <w:r>
        <w:rPr>
          <w:spacing w:val="-13"/>
        </w:rPr>
        <w:t> </w:t>
      </w:r>
      <w:r>
        <w:rPr/>
        <w:t>in</w:t>
      </w:r>
      <w:r>
        <w:rPr>
          <w:spacing w:val="-13"/>
        </w:rPr>
        <w:t> </w:t>
      </w:r>
      <w:r>
        <w:rPr/>
        <w:t>Sterling</w:t>
      </w:r>
      <w:r>
        <w:rPr>
          <w:spacing w:val="-15"/>
        </w:rPr>
        <w:t> </w:t>
      </w:r>
      <w:r>
        <w:rPr/>
        <w:t>Park.</w:t>
      </w:r>
    </w:p>
    <w:p>
      <w:pPr>
        <w:pStyle w:val="Heading3"/>
        <w:spacing w:before="168"/>
      </w:pPr>
      <w:r>
        <w:rPr/>
        <w:t>Challenges</w:t>
      </w:r>
    </w:p>
    <w:p>
      <w:pPr>
        <w:pStyle w:val="BodyText"/>
        <w:spacing w:line="256" w:lineRule="auto" w:before="26"/>
        <w:ind w:right="116" w:firstLine="0"/>
        <w:jc w:val="both"/>
      </w:pPr>
      <w:r>
        <w:rPr/>
        <w:t>Redevelopment,</w:t>
      </w:r>
      <w:r>
        <w:rPr>
          <w:spacing w:val="-14"/>
        </w:rPr>
        <w:t> </w:t>
      </w:r>
      <w:r>
        <w:rPr/>
        <w:t>infill</w:t>
      </w:r>
      <w:r>
        <w:rPr>
          <w:spacing w:val="-14"/>
        </w:rPr>
        <w:t> </w:t>
      </w:r>
      <w:r>
        <w:rPr/>
        <w:t>development,</w:t>
      </w:r>
      <w:r>
        <w:rPr>
          <w:spacing w:val="-14"/>
        </w:rPr>
        <w:t> </w:t>
      </w:r>
      <w:r>
        <w:rPr/>
        <w:t>and</w:t>
      </w:r>
      <w:r>
        <w:rPr>
          <w:spacing w:val="-14"/>
        </w:rPr>
        <w:t> </w:t>
      </w:r>
      <w:r>
        <w:rPr/>
        <w:t>adaptive</w:t>
      </w:r>
      <w:r>
        <w:rPr>
          <w:spacing w:val="-15"/>
        </w:rPr>
        <w:t> </w:t>
      </w:r>
      <w:r>
        <w:rPr/>
        <w:t>reuse</w:t>
      </w:r>
      <w:r>
        <w:rPr>
          <w:spacing w:val="-15"/>
        </w:rPr>
        <w:t> </w:t>
      </w:r>
      <w:r>
        <w:rPr/>
        <w:t>projects</w:t>
      </w:r>
      <w:r>
        <w:rPr>
          <w:spacing w:val="-14"/>
        </w:rPr>
        <w:t> </w:t>
      </w:r>
      <w:r>
        <w:rPr/>
        <w:t>also</w:t>
      </w:r>
      <w:r>
        <w:rPr>
          <w:spacing w:val="-14"/>
        </w:rPr>
        <w:t> </w:t>
      </w:r>
      <w:r>
        <w:rPr/>
        <w:t>face</w:t>
      </w:r>
      <w:r>
        <w:rPr>
          <w:spacing w:val="-15"/>
        </w:rPr>
        <w:t> </w:t>
      </w:r>
      <w:r>
        <w:rPr/>
        <w:t>particular</w:t>
      </w:r>
      <w:r>
        <w:rPr>
          <w:spacing w:val="-16"/>
        </w:rPr>
        <w:t> </w:t>
      </w:r>
      <w:r>
        <w:rPr/>
        <w:t>challenges</w:t>
      </w:r>
      <w:r>
        <w:rPr>
          <w:spacing w:val="-12"/>
        </w:rPr>
        <w:t> </w:t>
      </w:r>
      <w:r>
        <w:rPr/>
        <w:t>that are different from the challenges of greenfield development. Common challenges</w:t>
      </w:r>
      <w:r>
        <w:rPr>
          <w:spacing w:val="-9"/>
        </w:rPr>
        <w:t> </w:t>
      </w:r>
      <w:r>
        <w:rPr/>
        <w:t>include:</w:t>
      </w:r>
    </w:p>
    <w:p>
      <w:pPr>
        <w:pStyle w:val="ListParagraph"/>
        <w:numPr>
          <w:ilvl w:val="0"/>
          <w:numId w:val="2"/>
        </w:numPr>
        <w:tabs>
          <w:tab w:pos="820" w:val="left" w:leader="none"/>
          <w:tab w:pos="821" w:val="left" w:leader="none"/>
        </w:tabs>
        <w:spacing w:line="237" w:lineRule="auto" w:before="167" w:after="0"/>
        <w:ind w:left="820" w:right="1137" w:hanging="360"/>
        <w:jc w:val="left"/>
        <w:rPr>
          <w:sz w:val="24"/>
        </w:rPr>
      </w:pPr>
      <w:r>
        <w:rPr>
          <w:color w:val="201E1E"/>
          <w:sz w:val="24"/>
        </w:rPr>
        <w:t>Land development regulations that are generally designed to guide greenfield development and lack the flexibility needed to facilitate redevelopment or</w:t>
      </w:r>
      <w:r>
        <w:rPr>
          <w:color w:val="201E1E"/>
          <w:spacing w:val="-15"/>
          <w:sz w:val="24"/>
        </w:rPr>
        <w:t> </w:t>
      </w:r>
      <w:r>
        <w:rPr>
          <w:color w:val="201E1E"/>
          <w:sz w:val="24"/>
        </w:rPr>
        <w:t>infill development</w:t>
      </w:r>
      <w:r>
        <w:rPr>
          <w:color w:val="201E1E"/>
          <w:spacing w:val="-1"/>
          <w:sz w:val="24"/>
        </w:rPr>
        <w:t> </w:t>
      </w:r>
      <w:r>
        <w:rPr>
          <w:color w:val="201E1E"/>
          <w:sz w:val="24"/>
        </w:rPr>
        <w:t>projects.</w:t>
      </w:r>
    </w:p>
    <w:p>
      <w:pPr>
        <w:pStyle w:val="ListParagraph"/>
        <w:numPr>
          <w:ilvl w:val="0"/>
          <w:numId w:val="2"/>
        </w:numPr>
        <w:tabs>
          <w:tab w:pos="820" w:val="left" w:leader="none"/>
          <w:tab w:pos="821" w:val="left" w:leader="none"/>
        </w:tabs>
        <w:spacing w:line="237" w:lineRule="auto" w:before="7" w:after="0"/>
        <w:ind w:left="820" w:right="354" w:hanging="360"/>
        <w:jc w:val="left"/>
        <w:rPr>
          <w:sz w:val="24"/>
        </w:rPr>
      </w:pPr>
      <w:r>
        <w:rPr>
          <w:color w:val="201E1E"/>
          <w:sz w:val="24"/>
        </w:rPr>
        <w:t>Redevelopment sites and adaptive reuse projects are often in need of infrastructure improvements and experience other fiscal challenges that result in costlier projects than greenfield</w:t>
      </w:r>
      <w:r>
        <w:rPr>
          <w:color w:val="201E1E"/>
          <w:spacing w:val="-1"/>
          <w:sz w:val="24"/>
        </w:rPr>
        <w:t> </w:t>
      </w:r>
      <w:r>
        <w:rPr>
          <w:color w:val="201E1E"/>
          <w:sz w:val="24"/>
        </w:rPr>
        <w:t>development.</w:t>
      </w:r>
    </w:p>
    <w:p>
      <w:pPr>
        <w:pStyle w:val="ListParagraph"/>
        <w:numPr>
          <w:ilvl w:val="0"/>
          <w:numId w:val="2"/>
        </w:numPr>
        <w:tabs>
          <w:tab w:pos="820" w:val="left" w:leader="none"/>
          <w:tab w:pos="821" w:val="left" w:leader="none"/>
        </w:tabs>
        <w:spacing w:line="240" w:lineRule="auto" w:before="5" w:after="0"/>
        <w:ind w:left="820" w:right="657" w:hanging="360"/>
        <w:jc w:val="left"/>
        <w:rPr>
          <w:sz w:val="24"/>
        </w:rPr>
      </w:pPr>
      <w:r>
        <w:rPr>
          <w:color w:val="201E1E"/>
          <w:sz w:val="24"/>
        </w:rPr>
        <w:t>Sites that are often owned or leased by multiple entities, making it difficult to craft</w:t>
      </w:r>
      <w:r>
        <w:rPr>
          <w:color w:val="201E1E"/>
          <w:spacing w:val="-17"/>
          <w:sz w:val="24"/>
        </w:rPr>
        <w:t> </w:t>
      </w:r>
      <w:r>
        <w:rPr>
          <w:color w:val="201E1E"/>
          <w:sz w:val="24"/>
        </w:rPr>
        <w:t>a unified vision and</w:t>
      </w:r>
      <w:r>
        <w:rPr>
          <w:color w:val="201E1E"/>
          <w:spacing w:val="-1"/>
          <w:sz w:val="24"/>
        </w:rPr>
        <w:t> </w:t>
      </w:r>
      <w:r>
        <w:rPr>
          <w:color w:val="201E1E"/>
          <w:sz w:val="24"/>
        </w:rPr>
        <w:t>project.</w:t>
      </w:r>
    </w:p>
    <w:p>
      <w:pPr>
        <w:pStyle w:val="ListParagraph"/>
        <w:numPr>
          <w:ilvl w:val="0"/>
          <w:numId w:val="2"/>
        </w:numPr>
        <w:tabs>
          <w:tab w:pos="820" w:val="left" w:leader="none"/>
          <w:tab w:pos="821" w:val="left" w:leader="none"/>
        </w:tabs>
        <w:spacing w:line="240" w:lineRule="auto" w:before="1" w:after="0"/>
        <w:ind w:left="820" w:right="635" w:hanging="360"/>
        <w:jc w:val="left"/>
        <w:rPr>
          <w:sz w:val="24"/>
        </w:rPr>
      </w:pPr>
      <w:r>
        <w:rPr>
          <w:color w:val="201E1E"/>
          <w:sz w:val="24"/>
        </w:rPr>
        <w:t>Redevelopment projects that may displace populations because market-provided affordable housing is demolished or rents and property taxes increase due to the</w:t>
      </w:r>
      <w:r>
        <w:rPr>
          <w:color w:val="201E1E"/>
          <w:spacing w:val="-13"/>
          <w:sz w:val="24"/>
        </w:rPr>
        <w:t> </w:t>
      </w:r>
      <w:r>
        <w:rPr>
          <w:color w:val="201E1E"/>
          <w:sz w:val="24"/>
        </w:rPr>
        <w:t>new development.</w:t>
      </w:r>
    </w:p>
    <w:p>
      <w:pPr>
        <w:pStyle w:val="ListParagraph"/>
        <w:numPr>
          <w:ilvl w:val="0"/>
          <w:numId w:val="2"/>
        </w:numPr>
        <w:tabs>
          <w:tab w:pos="820" w:val="left" w:leader="none"/>
          <w:tab w:pos="821" w:val="left" w:leader="none"/>
        </w:tabs>
        <w:spacing w:line="237" w:lineRule="auto" w:before="2" w:after="0"/>
        <w:ind w:left="820" w:right="621" w:hanging="360"/>
        <w:jc w:val="left"/>
        <w:rPr>
          <w:sz w:val="24"/>
        </w:rPr>
      </w:pPr>
      <w:r>
        <w:rPr>
          <w:color w:val="201E1E"/>
          <w:sz w:val="24"/>
        </w:rPr>
        <w:t>Potential opposition from the community for redevelopment, infill development,</w:t>
      </w:r>
      <w:r>
        <w:rPr>
          <w:color w:val="201E1E"/>
          <w:spacing w:val="-12"/>
          <w:sz w:val="24"/>
        </w:rPr>
        <w:t> </w:t>
      </w:r>
      <w:r>
        <w:rPr>
          <w:color w:val="201E1E"/>
          <w:sz w:val="24"/>
        </w:rPr>
        <w:t>and adaptive reuse</w:t>
      </w:r>
      <w:r>
        <w:rPr>
          <w:color w:val="201E1E"/>
          <w:spacing w:val="-3"/>
          <w:sz w:val="24"/>
        </w:rPr>
        <w:t> </w:t>
      </w:r>
      <w:r>
        <w:rPr>
          <w:color w:val="201E1E"/>
          <w:sz w:val="24"/>
        </w:rPr>
        <w:t>projects.</w:t>
      </w:r>
    </w:p>
    <w:p>
      <w:pPr>
        <w:pStyle w:val="BodyText"/>
        <w:spacing w:before="5"/>
        <w:ind w:left="0" w:firstLine="0"/>
      </w:pPr>
    </w:p>
    <w:p>
      <w:pPr>
        <w:pStyle w:val="BodyText"/>
        <w:spacing w:line="259" w:lineRule="auto"/>
        <w:ind w:right="116" w:firstLine="0"/>
        <w:jc w:val="both"/>
      </w:pPr>
      <w:r>
        <w:rPr/>
        <w:t>Considering</w:t>
      </w:r>
      <w:r>
        <w:rPr>
          <w:spacing w:val="-14"/>
        </w:rPr>
        <w:t> </w:t>
      </w:r>
      <w:r>
        <w:rPr/>
        <w:t>the</w:t>
      </w:r>
      <w:r>
        <w:rPr>
          <w:spacing w:val="-12"/>
        </w:rPr>
        <w:t> </w:t>
      </w:r>
      <w:r>
        <w:rPr/>
        <w:t>complexity</w:t>
      </w:r>
      <w:r>
        <w:rPr>
          <w:spacing w:val="-18"/>
        </w:rPr>
        <w:t> </w:t>
      </w:r>
      <w:r>
        <w:rPr/>
        <w:t>of</w:t>
      </w:r>
      <w:r>
        <w:rPr>
          <w:spacing w:val="-12"/>
        </w:rPr>
        <w:t> </w:t>
      </w:r>
      <w:r>
        <w:rPr/>
        <w:t>challenges</w:t>
      </w:r>
      <w:r>
        <w:rPr>
          <w:spacing w:val="-11"/>
        </w:rPr>
        <w:t> </w:t>
      </w:r>
      <w:r>
        <w:rPr/>
        <w:t>related</w:t>
      </w:r>
      <w:r>
        <w:rPr>
          <w:spacing w:val="-11"/>
        </w:rPr>
        <w:t> </w:t>
      </w:r>
      <w:r>
        <w:rPr/>
        <w:t>to</w:t>
      </w:r>
      <w:r>
        <w:rPr>
          <w:spacing w:val="-11"/>
        </w:rPr>
        <w:t> </w:t>
      </w:r>
      <w:r>
        <w:rPr/>
        <w:t>these</w:t>
      </w:r>
      <w:r>
        <w:rPr>
          <w:spacing w:val="-9"/>
        </w:rPr>
        <w:t> </w:t>
      </w:r>
      <w:r>
        <w:rPr/>
        <w:t>projects,</w:t>
      </w:r>
      <w:r>
        <w:rPr>
          <w:spacing w:val="-10"/>
        </w:rPr>
        <w:t> </w:t>
      </w:r>
      <w:r>
        <w:rPr/>
        <w:t>developing</w:t>
      </w:r>
      <w:r>
        <w:rPr>
          <w:spacing w:val="-13"/>
        </w:rPr>
        <w:t> </w:t>
      </w:r>
      <w:r>
        <w:rPr/>
        <w:t>a</w:t>
      </w:r>
      <w:r>
        <w:rPr>
          <w:spacing w:val="-12"/>
        </w:rPr>
        <w:t> </w:t>
      </w:r>
      <w:r>
        <w:rPr/>
        <w:t>community</w:t>
      </w:r>
      <w:r>
        <w:rPr>
          <w:spacing w:val="-16"/>
        </w:rPr>
        <w:t> </w:t>
      </w:r>
      <w:r>
        <w:rPr/>
        <w:t>vision that anticipates redevelopment, infill development, and adaptive reuse projects is critical. The County should take a leading role in developing this community vision by identifying and prioritizing</w:t>
      </w:r>
      <w:r>
        <w:rPr>
          <w:spacing w:val="21"/>
        </w:rPr>
        <w:t> </w:t>
      </w:r>
      <w:r>
        <w:rPr/>
        <w:t>areas</w:t>
      </w:r>
      <w:r>
        <w:rPr>
          <w:spacing w:val="23"/>
        </w:rPr>
        <w:t> </w:t>
      </w:r>
      <w:r>
        <w:rPr/>
        <w:t>that</w:t>
      </w:r>
      <w:r>
        <w:rPr>
          <w:spacing w:val="23"/>
        </w:rPr>
        <w:t> </w:t>
      </w:r>
      <w:r>
        <w:rPr/>
        <w:t>would</w:t>
      </w:r>
      <w:r>
        <w:rPr>
          <w:spacing w:val="25"/>
        </w:rPr>
        <w:t> </w:t>
      </w:r>
      <w:r>
        <w:rPr/>
        <w:t>benefit</w:t>
      </w:r>
      <w:r>
        <w:rPr>
          <w:spacing w:val="23"/>
        </w:rPr>
        <w:t> </w:t>
      </w:r>
      <w:r>
        <w:rPr/>
        <w:t>from</w:t>
      </w:r>
      <w:r>
        <w:rPr>
          <w:spacing w:val="23"/>
        </w:rPr>
        <w:t> </w:t>
      </w:r>
      <w:r>
        <w:rPr/>
        <w:t>redevelopment</w:t>
      </w:r>
      <w:r>
        <w:rPr>
          <w:spacing w:val="23"/>
        </w:rPr>
        <w:t> </w:t>
      </w:r>
      <w:r>
        <w:rPr/>
        <w:t>and</w:t>
      </w:r>
      <w:r>
        <w:rPr>
          <w:spacing w:val="23"/>
        </w:rPr>
        <w:t> </w:t>
      </w:r>
      <w:r>
        <w:rPr/>
        <w:t>revitalization,</w:t>
      </w:r>
      <w:r>
        <w:rPr>
          <w:spacing w:val="25"/>
        </w:rPr>
        <w:t> </w:t>
      </w:r>
      <w:r>
        <w:rPr/>
        <w:t>and</w:t>
      </w:r>
      <w:r>
        <w:rPr>
          <w:spacing w:val="23"/>
        </w:rPr>
        <w:t> </w:t>
      </w:r>
      <w:r>
        <w:rPr/>
        <w:t>by</w:t>
      </w:r>
      <w:r>
        <w:rPr>
          <w:spacing w:val="18"/>
        </w:rPr>
        <w:t> </w:t>
      </w:r>
      <w:r>
        <w:rPr/>
        <w:t>conducting</w:t>
      </w:r>
    </w:p>
    <w:p>
      <w:pPr>
        <w:spacing w:after="0" w:line="259" w:lineRule="auto"/>
        <w:jc w:val="both"/>
        <w:sectPr>
          <w:pgSz w:w="12240" w:h="15840"/>
          <w:pgMar w:header="719" w:footer="540" w:top="1300" w:bottom="740" w:left="1340" w:right="1320"/>
        </w:sectPr>
      </w:pPr>
    </w:p>
    <w:p>
      <w:pPr>
        <w:pStyle w:val="BodyText"/>
        <w:spacing w:line="259" w:lineRule="auto" w:before="117"/>
        <w:ind w:right="119" w:firstLine="0"/>
        <w:jc w:val="both"/>
      </w:pPr>
      <w:r>
        <w:rPr/>
        <w:pict>
          <v:shape style="position:absolute;margin-left:90.066002pt;margin-top:120.643112pt;width:395.3pt;height:419pt;mso-position-horizontal-relative:page;mso-position-vertical-relative:paragraph;z-index:-10312" coordorigin="1801,2413" coordsize="7906,8380" path="m4498,9677l4492,9603,4477,9525,4455,9442,4432,9373,4402,9301,4367,9226,4325,9148,4276,9067,4236,9008,4200,8958,4200,9643,4197,9700,4185,9756,4167,9814,4138,9874,4097,9936,4044,10002,3979,10072,3674,10377,2216,8919,2517,8619,2598,8543,2672,8483,2740,8439,2801,8413,2868,8398,2941,8394,3020,8401,3105,8419,3195,8448,3255,8474,3317,8506,3380,8544,3446,8589,3514,8641,3584,8699,3656,8764,3729,8835,3789,8897,3844,8957,3896,9016,3943,9074,3986,9130,4024,9186,4059,9239,4101,9314,4136,9386,4163,9456,4183,9523,4196,9587,4200,9643,4200,8958,4194,8949,4148,8889,4098,8828,4045,8767,3989,8706,3929,8644,3865,8582,3801,8523,3737,8468,3673,8417,3643,8394,3609,8369,3546,8324,3482,8283,3419,8245,3346,8208,3274,8175,3203,8148,3132,8126,3062,8109,2992,8097,2923,8090,2850,8088,2779,8095,2709,8110,2642,8133,2577,8163,2528,8191,2476,8228,2420,8274,2359,8328,2294,8391,1801,8884,3710,10792,4124,10377,4226,10275,4287,10210,4341,10145,4386,10079,4424,10012,4454,9946,4476,9880,4491,9813,4498,9745,4498,9677m6418,8083l6056,7956,5650,7813,5561,7784,5475,7760,5393,7741,5364,7735,5314,7726,5239,7716,5193,7715,5143,7718,5089,7725,5030,7735,5074,7666,5109,7596,5136,7527,5154,7458,5164,7390,5165,7322,5157,7254,5139,7176,5111,7100,5075,7025,5030,6952,4976,6882,4956,6859,4913,6813,4872,6775,4872,7332,4868,7388,4854,7443,4830,7499,4794,7558,4747,7619,4687,7682,4413,7956,4280,8089,3649,7458,4102,7005,4166,6948,4229,6905,4293,6875,4358,6860,4422,6859,4501,6874,4577,6904,4649,6949,4718,7008,4761,7056,4797,7107,4827,7160,4851,7217,4867,7275,4872,7332,4872,6775,4849,6753,4782,6701,4713,6656,4641,6617,4566,6585,4474,6557,4386,6544,4303,6546,4225,6562,4163,6587,4098,6623,4030,6671,3958,6731,3883,6802,3248,7437,5157,9345,5346,9155,4499,8308,4718,8089,4753,8055,4783,8027,4810,8006,4833,7992,4863,7978,4896,7968,4932,7960,4971,7956,5014,7956,5066,7961,5125,7971,5194,7988,5256,8005,5328,8026,5407,8051,5496,8080,6180,8321,6418,8083m7780,6721l7415,6526,6555,6072,6555,6379,6070,6864,5989,6721,5748,6290,5708,6219,5668,6147,5629,6082,5590,6017,5550,5953,5509,5890,5467,5828,5424,5766,5380,5706,5436,5741,5498,5779,5564,5819,5635,5861,5792,5952,6555,6379,6555,6072,5862,5706,5286,5399,5082,5603,5277,5953,5316,6024,5701,6721,6168,7570,6441,8061,6642,7860,6565,7726,6298,7258,6221,7124,6481,6864,6820,6526,7565,6937,7780,6721m8131,6371l7264,5504,7489,5278,7936,4832,7711,4607,7039,5278,6448,4688,7224,3911,6999,3686,6033,4652,7941,6560,8131,6371m9707,4795l8213,3301,8024,3112,8497,2638,8272,2413,7138,3547,7363,3773,7834,3301,9517,4984,9707,4795e" filled="true" fillcolor="#c0c0c0" stroked="false">
            <v:path arrowok="t"/>
            <v:fill opacity="32896f" type="solid"/>
            <w10:wrap type="none"/>
          </v:shape>
        </w:pict>
      </w:r>
      <w:r>
        <w:rPr/>
        <w:t>proactive planning efforts to establish this vision. In addition, Loudoun County should require developers to consider and include community input for infill projects. A community vision endorsed by the locality provides assurances to both developers and the community. It also identifies the locality’s role in advancing such projects.</w:t>
      </w:r>
    </w:p>
    <w:p>
      <w:pPr>
        <w:pStyle w:val="BodyText"/>
        <w:ind w:left="0" w:firstLine="0"/>
        <w:rPr>
          <w:sz w:val="20"/>
        </w:rPr>
      </w:pPr>
    </w:p>
    <w:p>
      <w:pPr>
        <w:pStyle w:val="BodyText"/>
        <w:spacing w:before="5"/>
        <w:ind w:left="0" w:firstLine="0"/>
        <w:rPr>
          <w:sz w:val="21"/>
        </w:rPr>
      </w:pPr>
      <w:r>
        <w:rPr/>
        <w:pict>
          <v:group style="position:absolute;margin-left:72pt;margin-top:14.305996pt;width:463.7pt;height:368.25pt;mso-position-horizontal-relative:page;mso-position-vertical-relative:paragraph;z-index:1408;mso-wrap-distance-left:0;mso-wrap-distance-right:0" coordorigin="1440,286" coordsize="9274,7365">
            <v:shape style="position:absolute;left:1440;top:286;width:9274;height:7365" type="#_x0000_t75" stroked="false">
              <v:imagedata r:id="rId7" o:title=""/>
            </v:shape>
            <v:shape style="position:absolute;left:1590;top:471;width:4914;height:3447" type="#_x0000_t75" stroked="false">
              <v:imagedata r:id="rId8" o:title=""/>
            </v:shape>
            <v:shape style="position:absolute;left:1590;top:4056;width:4914;height:3406" type="#_x0000_t75" stroked="false">
              <v:imagedata r:id="rId9" o:title=""/>
            </v:shape>
            <v:shape style="position:absolute;left:6659;top:776;width:3901;height:2849" type="#_x0000_t75" stroked="false">
              <v:imagedata r:id="rId10" o:title=""/>
            </v:shape>
            <v:shape style="position:absolute;left:6653;top:4813;width:3891;height:1893" type="#_x0000_t75" stroked="false">
              <v:imagedata r:id="rId11" o:title=""/>
            </v:shape>
            <v:shape style="position:absolute;left:6805;top:4940;width:3617;height:1652" type="#_x0000_t202" filled="false" stroked="false">
              <v:textbox inset="0,0,0,0">
                <w:txbxContent>
                  <w:p>
                    <w:pPr>
                      <w:spacing w:line="219" w:lineRule="exact" w:before="0"/>
                      <w:ind w:left="0" w:right="0" w:firstLine="0"/>
                      <w:jc w:val="left"/>
                      <w:rPr>
                        <w:rFonts w:ascii="Candara"/>
                        <w:i/>
                        <w:sz w:val="22"/>
                      </w:rPr>
                    </w:pPr>
                    <w:r>
                      <w:rPr>
                        <w:rFonts w:ascii="Candara"/>
                        <w:i/>
                        <w:sz w:val="22"/>
                      </w:rPr>
                      <w:t>Lucketts Community Center. Loudoun</w:t>
                    </w:r>
                  </w:p>
                  <w:p>
                    <w:pPr>
                      <w:spacing w:line="256" w:lineRule="auto" w:before="17"/>
                      <w:ind w:left="0" w:right="18" w:firstLine="0"/>
                      <w:jc w:val="both"/>
                      <w:rPr>
                        <w:rFonts w:ascii="Candara"/>
                        <w:i/>
                        <w:sz w:val="22"/>
                      </w:rPr>
                    </w:pPr>
                    <w:r>
                      <w:rPr>
                        <w:rFonts w:ascii="Candara"/>
                        <w:i/>
                        <w:sz w:val="22"/>
                      </w:rPr>
                      <w:t>County has adaptively reused several </w:t>
                    </w:r>
                    <w:r>
                      <w:rPr>
                        <w:rFonts w:ascii="Candara"/>
                        <w:i/>
                        <w:sz w:val="22"/>
                      </w:rPr>
                      <w:t>historic schools for community centers in rural villages, providing gathering places while protecting iconic buildings and community character.</w:t>
                    </w:r>
                  </w:p>
                </w:txbxContent>
              </v:textbox>
              <w10:wrap type="none"/>
            </v:shape>
            <v:shape style="position:absolute;left:6810;top:1188;width:3626;height:2226" type="#_x0000_t202" filled="false" stroked="false">
              <v:textbox inset="0,0,0,0">
                <w:txbxContent>
                  <w:p>
                    <w:pPr>
                      <w:spacing w:line="219" w:lineRule="exact" w:before="0"/>
                      <w:ind w:left="0" w:right="0" w:firstLine="0"/>
                      <w:jc w:val="left"/>
                      <w:rPr>
                        <w:rFonts w:ascii="Candara"/>
                        <w:i/>
                        <w:sz w:val="22"/>
                      </w:rPr>
                    </w:pPr>
                    <w:r>
                      <w:rPr>
                        <w:rFonts w:ascii="Candara"/>
                        <w:i/>
                        <w:sz w:val="22"/>
                      </w:rPr>
                      <w:t>development is an example of infill</w:t>
                    </w:r>
                  </w:p>
                  <w:p>
                    <w:pPr>
                      <w:spacing w:line="256" w:lineRule="auto" w:before="17"/>
                      <w:ind w:left="0" w:right="18" w:firstLine="0"/>
                      <w:jc w:val="both"/>
                      <w:rPr>
                        <w:rFonts w:ascii="Candara"/>
                        <w:i/>
                        <w:sz w:val="22"/>
                      </w:rPr>
                    </w:pPr>
                    <w:r>
                      <w:rPr>
                        <w:rFonts w:ascii="Candara"/>
                        <w:i/>
                        <w:sz w:val="22"/>
                      </w:rPr>
                      <w:t>development in Brambleton. Two </w:t>
                    </w:r>
                    <w:r>
                      <w:rPr>
                        <w:rFonts w:ascii="Candara"/>
                        <w:i/>
                        <w:sz w:val="22"/>
                      </w:rPr>
                      <w:t>parcels, each with a residence, and totaling approximately 7 acres will be developed with 39 townhouses surrounding a village green and will be annexed into the neighboring Homeowners Association (HOA).</w:t>
                    </w:r>
                  </w:p>
                </w:txbxContent>
              </v:textbox>
              <w10:wrap type="none"/>
            </v:shape>
            <v:shape style="position:absolute;left:9463;top:900;width:972;height:221" type="#_x0000_t202" filled="false" stroked="false">
              <v:textbox inset="0,0,0,0">
                <w:txbxContent>
                  <w:p>
                    <w:pPr>
                      <w:spacing w:line="219" w:lineRule="exact" w:before="0"/>
                      <w:ind w:left="0" w:right="0" w:firstLine="0"/>
                      <w:jc w:val="left"/>
                      <w:rPr>
                        <w:rFonts w:ascii="Candara"/>
                        <w:i/>
                        <w:sz w:val="22"/>
                      </w:rPr>
                    </w:pPr>
                    <w:r>
                      <w:rPr>
                        <w:rFonts w:ascii="Candara"/>
                        <w:i/>
                        <w:sz w:val="22"/>
                      </w:rPr>
                      <w:t>residential</w:t>
                    </w:r>
                  </w:p>
                </w:txbxContent>
              </v:textbox>
              <w10:wrap type="none"/>
            </v:shape>
            <v:shape style="position:absolute;left:8057;top:900;width:919;height:221" type="#_x0000_t202" filled="false" stroked="false">
              <v:textbox inset="0,0,0,0">
                <w:txbxContent>
                  <w:p>
                    <w:pPr>
                      <w:spacing w:line="219" w:lineRule="exact" w:before="0"/>
                      <w:ind w:left="0" w:right="0" w:firstLine="0"/>
                      <w:jc w:val="left"/>
                      <w:rPr>
                        <w:rFonts w:ascii="Candara"/>
                        <w:i/>
                        <w:sz w:val="22"/>
                      </w:rPr>
                    </w:pPr>
                    <w:r>
                      <w:rPr>
                        <w:rFonts w:ascii="Candara"/>
                        <w:i/>
                        <w:sz w:val="22"/>
                      </w:rPr>
                      <w:t>McDonald</w:t>
                    </w:r>
                  </w:p>
                </w:txbxContent>
              </v:textbox>
              <w10:wrap type="none"/>
            </v:shape>
            <v:shape style="position:absolute;left:6810;top:900;width:759;height:221" type="#_x0000_t202" filled="false" stroked="false">
              <v:textbox inset="0,0,0,0">
                <w:txbxContent>
                  <w:p>
                    <w:pPr>
                      <w:spacing w:line="219" w:lineRule="exact" w:before="0"/>
                      <w:ind w:left="0" w:right="0" w:firstLine="0"/>
                      <w:jc w:val="left"/>
                      <w:rPr>
                        <w:rFonts w:ascii="Candara"/>
                        <w:i/>
                        <w:sz w:val="22"/>
                      </w:rPr>
                    </w:pPr>
                    <w:r>
                      <w:rPr>
                        <w:rFonts w:ascii="Candara"/>
                        <w:i/>
                        <w:sz w:val="22"/>
                      </w:rPr>
                      <w:t>Addison</w:t>
                    </w:r>
                  </w:p>
                </w:txbxContent>
              </v:textbox>
              <w10:wrap type="none"/>
            </v:shape>
            <w10:wrap type="topAndBottom"/>
          </v:group>
        </w:pict>
      </w:r>
    </w:p>
    <w:p>
      <w:pPr>
        <w:pStyle w:val="BodyText"/>
        <w:spacing w:before="2"/>
        <w:ind w:left="0" w:firstLine="0"/>
        <w:rPr>
          <w:sz w:val="28"/>
        </w:rPr>
      </w:pPr>
    </w:p>
    <w:p>
      <w:pPr>
        <w:pStyle w:val="BodyText"/>
        <w:spacing w:line="259" w:lineRule="auto"/>
        <w:ind w:right="110" w:firstLine="0"/>
        <w:jc w:val="both"/>
      </w:pPr>
      <w:r>
        <w:rPr/>
        <w:t>Redevelopment, infill development, adaptive reuse, and revitalization projects within the County should result in great places that complement, strengthen, and benefit surrounding communities. Such</w:t>
      </w:r>
      <w:r>
        <w:rPr>
          <w:spacing w:val="-11"/>
        </w:rPr>
        <w:t> </w:t>
      </w:r>
      <w:r>
        <w:rPr/>
        <w:t>projects</w:t>
      </w:r>
      <w:r>
        <w:rPr>
          <w:spacing w:val="-10"/>
        </w:rPr>
        <w:t> </w:t>
      </w:r>
      <w:r>
        <w:rPr/>
        <w:t>should</w:t>
      </w:r>
      <w:r>
        <w:rPr>
          <w:spacing w:val="-10"/>
        </w:rPr>
        <w:t> </w:t>
      </w:r>
      <w:r>
        <w:rPr/>
        <w:t>enhance</w:t>
      </w:r>
      <w:r>
        <w:rPr>
          <w:spacing w:val="-12"/>
        </w:rPr>
        <w:t> </w:t>
      </w:r>
      <w:r>
        <w:rPr/>
        <w:t>the</w:t>
      </w:r>
      <w:r>
        <w:rPr>
          <w:spacing w:val="-12"/>
        </w:rPr>
        <w:t> </w:t>
      </w:r>
      <w:r>
        <w:rPr/>
        <w:t>quality</w:t>
      </w:r>
      <w:r>
        <w:rPr>
          <w:spacing w:val="-18"/>
        </w:rPr>
        <w:t> </w:t>
      </w:r>
      <w:r>
        <w:rPr/>
        <w:t>of</w:t>
      </w:r>
      <w:r>
        <w:rPr>
          <w:spacing w:val="-12"/>
        </w:rPr>
        <w:t> </w:t>
      </w:r>
      <w:r>
        <w:rPr/>
        <w:t>life</w:t>
      </w:r>
      <w:r>
        <w:rPr>
          <w:spacing w:val="-13"/>
        </w:rPr>
        <w:t> </w:t>
      </w:r>
      <w:r>
        <w:rPr/>
        <w:t>and</w:t>
      </w:r>
      <w:r>
        <w:rPr>
          <w:spacing w:val="-9"/>
        </w:rPr>
        <w:t> </w:t>
      </w:r>
      <w:r>
        <w:rPr/>
        <w:t>help</w:t>
      </w:r>
      <w:r>
        <w:rPr>
          <w:spacing w:val="-11"/>
        </w:rPr>
        <w:t> </w:t>
      </w:r>
      <w:r>
        <w:rPr/>
        <w:t>build</w:t>
      </w:r>
      <w:r>
        <w:rPr>
          <w:spacing w:val="-11"/>
        </w:rPr>
        <w:t> </w:t>
      </w:r>
      <w:r>
        <w:rPr/>
        <w:t>a</w:t>
      </w:r>
      <w:r>
        <w:rPr>
          <w:spacing w:val="-12"/>
        </w:rPr>
        <w:t> </w:t>
      </w:r>
      <w:r>
        <w:rPr/>
        <w:t>strong</w:t>
      </w:r>
      <w:r>
        <w:rPr>
          <w:spacing w:val="-13"/>
        </w:rPr>
        <w:t> </w:t>
      </w:r>
      <w:r>
        <w:rPr/>
        <w:t>sense</w:t>
      </w:r>
      <w:r>
        <w:rPr>
          <w:spacing w:val="-12"/>
        </w:rPr>
        <w:t> </w:t>
      </w:r>
      <w:r>
        <w:rPr/>
        <w:t>of</w:t>
      </w:r>
      <w:r>
        <w:rPr>
          <w:spacing w:val="-12"/>
        </w:rPr>
        <w:t> </w:t>
      </w:r>
      <w:r>
        <w:rPr/>
        <w:t>community,</w:t>
      </w:r>
      <w:r>
        <w:rPr>
          <w:spacing w:val="-11"/>
        </w:rPr>
        <w:t> </w:t>
      </w:r>
      <w:r>
        <w:rPr/>
        <w:t>where people</w:t>
      </w:r>
      <w:r>
        <w:rPr>
          <w:spacing w:val="-12"/>
        </w:rPr>
        <w:t> </w:t>
      </w:r>
      <w:r>
        <w:rPr/>
        <w:t>feel</w:t>
      </w:r>
      <w:r>
        <w:rPr>
          <w:spacing w:val="-11"/>
        </w:rPr>
        <w:t> </w:t>
      </w:r>
      <w:r>
        <w:rPr/>
        <w:t>connected</w:t>
      </w:r>
      <w:r>
        <w:rPr>
          <w:spacing w:val="-12"/>
        </w:rPr>
        <w:t> </w:t>
      </w:r>
      <w:r>
        <w:rPr/>
        <w:t>to</w:t>
      </w:r>
      <w:r>
        <w:rPr>
          <w:spacing w:val="-8"/>
        </w:rPr>
        <w:t> </w:t>
      </w:r>
      <w:r>
        <w:rPr/>
        <w:t>each</w:t>
      </w:r>
      <w:r>
        <w:rPr>
          <w:spacing w:val="-11"/>
        </w:rPr>
        <w:t> </w:t>
      </w:r>
      <w:r>
        <w:rPr/>
        <w:t>other</w:t>
      </w:r>
      <w:r>
        <w:rPr>
          <w:spacing w:val="-12"/>
        </w:rPr>
        <w:t> </w:t>
      </w:r>
      <w:r>
        <w:rPr/>
        <w:t>and</w:t>
      </w:r>
      <w:r>
        <w:rPr>
          <w:spacing w:val="-11"/>
        </w:rPr>
        <w:t> </w:t>
      </w:r>
      <w:r>
        <w:rPr/>
        <w:t>to</w:t>
      </w:r>
      <w:r>
        <w:rPr>
          <w:spacing w:val="-11"/>
        </w:rPr>
        <w:t> </w:t>
      </w:r>
      <w:r>
        <w:rPr/>
        <w:t>places</w:t>
      </w:r>
      <w:r>
        <w:rPr>
          <w:spacing w:val="-11"/>
        </w:rPr>
        <w:t> </w:t>
      </w:r>
      <w:r>
        <w:rPr/>
        <w:t>that</w:t>
      </w:r>
      <w:r>
        <w:rPr>
          <w:spacing w:val="-11"/>
        </w:rPr>
        <w:t> </w:t>
      </w:r>
      <w:r>
        <w:rPr/>
        <w:t>are</w:t>
      </w:r>
      <w:r>
        <w:rPr>
          <w:spacing w:val="-8"/>
        </w:rPr>
        <w:t> </w:t>
      </w:r>
      <w:r>
        <w:rPr/>
        <w:t>expressions</w:t>
      </w:r>
      <w:r>
        <w:rPr>
          <w:spacing w:val="-11"/>
        </w:rPr>
        <w:t> </w:t>
      </w:r>
      <w:r>
        <w:rPr/>
        <w:t>of</w:t>
      </w:r>
      <w:r>
        <w:rPr>
          <w:spacing w:val="-12"/>
        </w:rPr>
        <w:t> </w:t>
      </w:r>
      <w:r>
        <w:rPr/>
        <w:t>community</w:t>
      </w:r>
      <w:r>
        <w:rPr>
          <w:spacing w:val="-16"/>
        </w:rPr>
        <w:t> </w:t>
      </w:r>
      <w:r>
        <w:rPr/>
        <w:t>character.</w:t>
      </w:r>
      <w:r>
        <w:rPr>
          <w:spacing w:val="-9"/>
        </w:rPr>
        <w:t> </w:t>
      </w:r>
      <w:r>
        <w:rPr/>
        <w:t>The following Policies, Strategies, and Actions of the </w:t>
      </w:r>
      <w:r>
        <w:rPr>
          <w:i/>
        </w:rPr>
        <w:t>Loudoun 2040 General Plan </w:t>
      </w:r>
      <w:r>
        <w:rPr/>
        <w:t>will foster this vision</w:t>
      </w:r>
      <w:r>
        <w:rPr>
          <w:spacing w:val="-11"/>
        </w:rPr>
        <w:t> </w:t>
      </w:r>
      <w:r>
        <w:rPr/>
        <w:t>of</w:t>
      </w:r>
      <w:r>
        <w:rPr>
          <w:spacing w:val="-12"/>
        </w:rPr>
        <w:t> </w:t>
      </w:r>
      <w:r>
        <w:rPr/>
        <w:t>compatible</w:t>
      </w:r>
      <w:r>
        <w:rPr>
          <w:spacing w:val="-12"/>
        </w:rPr>
        <w:t> </w:t>
      </w:r>
      <w:r>
        <w:rPr/>
        <w:t>infill</w:t>
      </w:r>
      <w:r>
        <w:rPr>
          <w:spacing w:val="-10"/>
        </w:rPr>
        <w:t> </w:t>
      </w:r>
      <w:r>
        <w:rPr/>
        <w:t>development</w:t>
      </w:r>
      <w:r>
        <w:rPr>
          <w:spacing w:val="-11"/>
        </w:rPr>
        <w:t> </w:t>
      </w:r>
      <w:r>
        <w:rPr/>
        <w:t>within</w:t>
      </w:r>
      <w:r>
        <w:rPr>
          <w:spacing w:val="-11"/>
        </w:rPr>
        <w:t> </w:t>
      </w:r>
      <w:r>
        <w:rPr/>
        <w:t>existing</w:t>
      </w:r>
      <w:r>
        <w:rPr>
          <w:spacing w:val="-13"/>
        </w:rPr>
        <w:t> </w:t>
      </w:r>
      <w:r>
        <w:rPr/>
        <w:t>neighborhoods,</w:t>
      </w:r>
      <w:r>
        <w:rPr>
          <w:spacing w:val="-11"/>
        </w:rPr>
        <w:t> </w:t>
      </w:r>
      <w:r>
        <w:rPr/>
        <w:t>and</w:t>
      </w:r>
      <w:r>
        <w:rPr>
          <w:spacing w:val="-9"/>
        </w:rPr>
        <w:t> </w:t>
      </w:r>
      <w:r>
        <w:rPr/>
        <w:t>quality</w:t>
      </w:r>
      <w:r>
        <w:rPr>
          <w:spacing w:val="-15"/>
        </w:rPr>
        <w:t> </w:t>
      </w:r>
      <w:r>
        <w:rPr/>
        <w:t>redevelopment and revitalization of aging or underutilized commercial and employment areas. They encourage efficient use of land and maximizing the use of existing infrastructure, public facilities, and community amenities, while benefiting established communities and alleviating development pressure outside of planned growth</w:t>
      </w:r>
      <w:r>
        <w:rPr>
          <w:spacing w:val="-4"/>
        </w:rPr>
        <w:t> </w:t>
      </w:r>
      <w:r>
        <w:rPr/>
        <w:t>areas.</w:t>
      </w:r>
    </w:p>
    <w:p>
      <w:pPr>
        <w:spacing w:after="0" w:line="259" w:lineRule="auto"/>
        <w:jc w:val="both"/>
        <w:sectPr>
          <w:pgSz w:w="12240" w:h="15840"/>
          <w:pgMar w:header="719" w:footer="540" w:top="1300" w:bottom="740" w:left="1340" w:right="1320"/>
        </w:sectPr>
      </w:pPr>
    </w:p>
    <w:p>
      <w:pPr>
        <w:pStyle w:val="Heading3"/>
        <w:spacing w:before="125"/>
        <w:jc w:val="left"/>
      </w:pPr>
      <w:r>
        <w:rPr>
          <w:w w:val="95"/>
        </w:rPr>
        <w:t>Policies, Strategies, and</w:t>
      </w:r>
      <w:r>
        <w:rPr>
          <w:spacing w:val="-74"/>
          <w:w w:val="95"/>
        </w:rPr>
        <w:t> </w:t>
      </w:r>
      <w:r>
        <w:rPr>
          <w:w w:val="95"/>
        </w:rPr>
        <w:t>Actions</w:t>
      </w:r>
    </w:p>
    <w:p>
      <w:pPr>
        <w:pStyle w:val="BodyText"/>
        <w:spacing w:before="64"/>
        <w:ind w:firstLine="0"/>
      </w:pPr>
      <w:r>
        <w:rPr/>
        <w:t>Unless otherwise specified, the following Policies, Strategies, and Actions apply countywide.</w:t>
      </w:r>
    </w:p>
    <w:p>
      <w:pPr>
        <w:pStyle w:val="BodyText"/>
        <w:spacing w:before="7"/>
        <w:ind w:left="0" w:firstLine="0"/>
        <w:rPr>
          <w:sz w:val="20"/>
        </w:rPr>
      </w:pPr>
    </w:p>
    <w:p>
      <w:pPr>
        <w:pStyle w:val="Heading5"/>
        <w:spacing w:line="259" w:lineRule="auto"/>
        <w:ind w:right="115"/>
      </w:pPr>
      <w:r>
        <w:rPr>
          <w:color w:val="396230"/>
          <w:w w:val="90"/>
        </w:rPr>
        <w:t>IR</w:t>
      </w:r>
      <w:r>
        <w:rPr>
          <w:color w:val="396230"/>
          <w:spacing w:val="-15"/>
          <w:w w:val="90"/>
        </w:rPr>
        <w:t> </w:t>
      </w:r>
      <w:r>
        <w:rPr>
          <w:color w:val="396230"/>
          <w:w w:val="90"/>
        </w:rPr>
        <w:t>Policy</w:t>
      </w:r>
      <w:r>
        <w:rPr>
          <w:color w:val="396230"/>
          <w:spacing w:val="-17"/>
          <w:w w:val="90"/>
        </w:rPr>
        <w:t> </w:t>
      </w:r>
      <w:r>
        <w:rPr>
          <w:color w:val="396230"/>
          <w:w w:val="90"/>
        </w:rPr>
        <w:t>1:</w:t>
      </w:r>
      <w:r>
        <w:rPr>
          <w:color w:val="396230"/>
          <w:spacing w:val="-15"/>
          <w:w w:val="90"/>
        </w:rPr>
        <w:t> </w:t>
      </w:r>
      <w:r>
        <w:rPr>
          <w:color w:val="396230"/>
          <w:w w:val="90"/>
        </w:rPr>
        <w:t>Ensure</w:t>
      </w:r>
      <w:r>
        <w:rPr>
          <w:color w:val="396230"/>
          <w:spacing w:val="-15"/>
          <w:w w:val="90"/>
        </w:rPr>
        <w:t> </w:t>
      </w:r>
      <w:r>
        <w:rPr>
          <w:color w:val="396230"/>
          <w:w w:val="90"/>
        </w:rPr>
        <w:t>revitalization</w:t>
      </w:r>
      <w:r>
        <w:rPr>
          <w:color w:val="396230"/>
          <w:spacing w:val="-15"/>
          <w:w w:val="90"/>
        </w:rPr>
        <w:t> </w:t>
      </w:r>
      <w:r>
        <w:rPr>
          <w:color w:val="396230"/>
          <w:w w:val="90"/>
        </w:rPr>
        <w:t>initiatives</w:t>
      </w:r>
      <w:r>
        <w:rPr>
          <w:color w:val="396230"/>
          <w:spacing w:val="-14"/>
          <w:w w:val="90"/>
        </w:rPr>
        <w:t> </w:t>
      </w:r>
      <w:r>
        <w:rPr>
          <w:color w:val="396230"/>
          <w:w w:val="90"/>
        </w:rPr>
        <w:t>and</w:t>
      </w:r>
      <w:r>
        <w:rPr>
          <w:color w:val="396230"/>
          <w:spacing w:val="-15"/>
          <w:w w:val="90"/>
        </w:rPr>
        <w:t> </w:t>
      </w:r>
      <w:r>
        <w:rPr>
          <w:color w:val="396230"/>
          <w:w w:val="90"/>
        </w:rPr>
        <w:t>redevelopment,</w:t>
      </w:r>
      <w:r>
        <w:rPr>
          <w:color w:val="396230"/>
          <w:spacing w:val="-14"/>
          <w:w w:val="90"/>
        </w:rPr>
        <w:t> </w:t>
      </w:r>
      <w:r>
        <w:rPr>
          <w:color w:val="396230"/>
          <w:w w:val="90"/>
        </w:rPr>
        <w:t>infill</w:t>
      </w:r>
      <w:r>
        <w:rPr>
          <w:color w:val="396230"/>
          <w:spacing w:val="-17"/>
          <w:w w:val="90"/>
        </w:rPr>
        <w:t> </w:t>
      </w:r>
      <w:r>
        <w:rPr>
          <w:color w:val="396230"/>
          <w:w w:val="90"/>
        </w:rPr>
        <w:t>development, and</w:t>
      </w:r>
      <w:r>
        <w:rPr>
          <w:color w:val="396230"/>
          <w:spacing w:val="-28"/>
          <w:w w:val="90"/>
        </w:rPr>
        <w:t> </w:t>
      </w:r>
      <w:r>
        <w:rPr>
          <w:color w:val="396230"/>
          <w:w w:val="90"/>
        </w:rPr>
        <w:t>adaptive</w:t>
      </w:r>
      <w:r>
        <w:rPr>
          <w:color w:val="396230"/>
          <w:spacing w:val="-27"/>
          <w:w w:val="90"/>
        </w:rPr>
        <w:t> </w:t>
      </w:r>
      <w:r>
        <w:rPr>
          <w:color w:val="396230"/>
          <w:w w:val="90"/>
        </w:rPr>
        <w:t>reuse</w:t>
      </w:r>
      <w:r>
        <w:rPr>
          <w:color w:val="396230"/>
          <w:spacing w:val="-28"/>
          <w:w w:val="90"/>
        </w:rPr>
        <w:t> </w:t>
      </w:r>
      <w:r>
        <w:rPr>
          <w:color w:val="396230"/>
          <w:w w:val="90"/>
        </w:rPr>
        <w:t>projects</w:t>
      </w:r>
      <w:r>
        <w:rPr>
          <w:color w:val="396230"/>
          <w:spacing w:val="-27"/>
          <w:w w:val="90"/>
        </w:rPr>
        <w:t> </w:t>
      </w:r>
      <w:r>
        <w:rPr>
          <w:color w:val="396230"/>
          <w:w w:val="90"/>
        </w:rPr>
        <w:t>will</w:t>
      </w:r>
      <w:r>
        <w:rPr>
          <w:color w:val="396230"/>
          <w:spacing w:val="-26"/>
          <w:w w:val="90"/>
        </w:rPr>
        <w:t> </w:t>
      </w:r>
      <w:r>
        <w:rPr>
          <w:color w:val="396230"/>
          <w:w w:val="90"/>
        </w:rPr>
        <w:t>enhance</w:t>
      </w:r>
      <w:r>
        <w:rPr>
          <w:color w:val="396230"/>
          <w:spacing w:val="-29"/>
          <w:w w:val="90"/>
        </w:rPr>
        <w:t> </w:t>
      </w:r>
      <w:r>
        <w:rPr>
          <w:color w:val="396230"/>
          <w:w w:val="90"/>
        </w:rPr>
        <w:t>quality</w:t>
      </w:r>
      <w:r>
        <w:rPr>
          <w:color w:val="396230"/>
          <w:spacing w:val="-27"/>
          <w:w w:val="90"/>
        </w:rPr>
        <w:t> </w:t>
      </w:r>
      <w:r>
        <w:rPr>
          <w:color w:val="396230"/>
          <w:w w:val="90"/>
        </w:rPr>
        <w:t>of</w:t>
      </w:r>
      <w:r>
        <w:rPr>
          <w:color w:val="396230"/>
          <w:spacing w:val="-29"/>
          <w:w w:val="90"/>
        </w:rPr>
        <w:t> </w:t>
      </w:r>
      <w:r>
        <w:rPr>
          <w:color w:val="396230"/>
          <w:w w:val="90"/>
        </w:rPr>
        <w:t>life</w:t>
      </w:r>
      <w:r>
        <w:rPr>
          <w:color w:val="396230"/>
          <w:spacing w:val="-27"/>
          <w:w w:val="90"/>
        </w:rPr>
        <w:t> </w:t>
      </w:r>
      <w:r>
        <w:rPr>
          <w:color w:val="396230"/>
          <w:w w:val="90"/>
        </w:rPr>
        <w:t>and</w:t>
      </w:r>
      <w:r>
        <w:rPr>
          <w:color w:val="396230"/>
          <w:spacing w:val="-28"/>
          <w:w w:val="90"/>
        </w:rPr>
        <w:t> </w:t>
      </w:r>
      <w:r>
        <w:rPr>
          <w:color w:val="396230"/>
          <w:w w:val="90"/>
        </w:rPr>
        <w:t>neighborhood</w:t>
      </w:r>
      <w:r>
        <w:rPr>
          <w:color w:val="396230"/>
          <w:spacing w:val="-26"/>
          <w:w w:val="90"/>
        </w:rPr>
        <w:t> </w:t>
      </w:r>
      <w:r>
        <w:rPr>
          <w:color w:val="396230"/>
          <w:w w:val="90"/>
        </w:rPr>
        <w:t>character, </w:t>
      </w:r>
      <w:r>
        <w:rPr>
          <w:color w:val="396230"/>
        </w:rPr>
        <w:t>fulfill</w:t>
      </w:r>
      <w:r>
        <w:rPr>
          <w:color w:val="396230"/>
          <w:spacing w:val="-30"/>
        </w:rPr>
        <w:t> </w:t>
      </w:r>
      <w:r>
        <w:rPr>
          <w:color w:val="396230"/>
        </w:rPr>
        <w:t>community</w:t>
      </w:r>
      <w:r>
        <w:rPr>
          <w:color w:val="396230"/>
          <w:spacing w:val="-31"/>
        </w:rPr>
        <w:t> </w:t>
      </w:r>
      <w:r>
        <w:rPr>
          <w:color w:val="396230"/>
        </w:rPr>
        <w:t>needs,</w:t>
      </w:r>
      <w:r>
        <w:rPr>
          <w:color w:val="396230"/>
          <w:spacing w:val="-30"/>
        </w:rPr>
        <w:t> </w:t>
      </w:r>
      <w:r>
        <w:rPr>
          <w:color w:val="396230"/>
        </w:rPr>
        <w:t>and</w:t>
      </w:r>
      <w:r>
        <w:rPr>
          <w:color w:val="396230"/>
          <w:spacing w:val="-31"/>
        </w:rPr>
        <w:t> </w:t>
      </w:r>
      <w:r>
        <w:rPr>
          <w:color w:val="396230"/>
        </w:rPr>
        <w:t>improve</w:t>
      </w:r>
      <w:r>
        <w:rPr>
          <w:color w:val="396230"/>
          <w:spacing w:val="-31"/>
        </w:rPr>
        <w:t> </w:t>
      </w:r>
      <w:r>
        <w:rPr>
          <w:color w:val="396230"/>
        </w:rPr>
        <w:t>economic</w:t>
      </w:r>
      <w:r>
        <w:rPr>
          <w:color w:val="396230"/>
          <w:spacing w:val="-31"/>
        </w:rPr>
        <w:t> </w:t>
      </w:r>
      <w:r>
        <w:rPr>
          <w:color w:val="396230"/>
        </w:rPr>
        <w:t>opportunities.</w:t>
      </w:r>
    </w:p>
    <w:p>
      <w:pPr>
        <w:spacing w:before="273"/>
        <w:ind w:left="100" w:right="0" w:firstLine="0"/>
        <w:jc w:val="left"/>
        <w:rPr>
          <w:rFonts w:ascii="Verdana"/>
          <w:sz w:val="22"/>
        </w:rPr>
      </w:pPr>
      <w:r>
        <w:rPr/>
        <w:pict>
          <v:shape style="position:absolute;margin-left:90.066002pt;margin-top:13.439024pt;width:395.3pt;height:419pt;mso-position-horizontal-relative:page;mso-position-vertical-relative:paragraph;z-index:-10288" coordorigin="1801,269" coordsize="7906,8380" path="m4498,7532l4492,7459,4477,7381,4455,7298,4432,7229,4402,7157,4367,7082,4325,7004,4276,6923,4236,6864,4200,6814,4200,7499,4197,7555,4185,7612,4167,7670,4138,7729,4097,7792,4044,7858,3979,7928,3674,8233,2216,6775,2517,6475,2598,6398,2672,6339,2740,6295,2801,6269,2868,6254,2941,6250,3020,6257,3105,6275,3195,6304,3255,6330,3317,6362,3380,6400,3446,6445,3514,6497,3584,6555,3656,6620,3729,6691,3789,6753,3844,6813,3896,6872,3943,6930,3986,6986,4024,7041,4059,7095,4101,7170,4136,7242,4163,7312,4183,7379,4196,7443,4200,7499,4200,6814,4194,6805,4148,6745,4098,6684,4045,6623,3989,6562,3929,6500,3865,6438,3801,6379,3737,6324,3673,6273,3643,6250,3609,6225,3546,6180,3482,6139,3419,6101,3346,6064,3274,6031,3203,6004,3132,5982,3062,5965,2992,5953,2923,5946,2850,5944,2779,5951,2709,5966,2642,5989,2577,6019,2528,6047,2476,6084,2420,6130,2359,6184,2294,6247,1801,6740,3710,8648,4124,8233,4226,8131,4287,8066,4341,8001,4386,7935,4424,7868,4454,7802,4476,7736,4491,7669,4498,7601,4498,7532m6418,5939l6056,5812,5650,5669,5561,5640,5475,5616,5393,5597,5364,5591,5314,5582,5239,5572,5193,5571,5143,5574,5089,5581,5030,5591,5074,5522,5109,5452,5136,5383,5154,5314,5164,5246,5165,5178,5157,5110,5139,5032,5111,4956,5075,4881,5030,4808,4976,4738,4956,4715,4913,4669,4872,4631,4872,5188,4868,5244,4854,5299,4830,5355,4794,5413,4747,5474,4687,5538,4413,5812,4280,5945,3649,5314,4102,4861,4166,4804,4229,4761,4293,4731,4358,4716,4422,4715,4501,4730,4577,4760,4649,4804,4718,4864,4761,4912,4797,4962,4827,5016,4851,5073,4867,5131,4872,5188,4872,4631,4849,4609,4782,4557,4713,4511,4641,4473,4566,4441,4474,4413,4386,4400,4303,4402,4225,4418,4163,4443,4098,4479,4030,4527,3958,4587,3883,4658,3248,5293,5157,7201,5346,7011,4499,6164,4718,5945,4753,5911,4783,5883,4810,5862,4833,5848,4863,5834,4896,5823,4932,5816,4971,5812,5014,5812,5066,5817,5125,5827,5194,5844,5256,5861,5328,5882,5407,5907,5496,5936,6180,6177,6418,5939m7780,4577l7415,4382,6555,3928,6555,4235,6070,4720,5989,4577,5748,4146,5708,4075,5668,4003,5629,3938,5590,3873,5550,3809,5509,3746,5467,3684,5424,3622,5380,3562,5436,3597,5498,3635,5564,3675,5635,3717,5792,3807,6555,4235,6555,3928,5862,3562,5286,3255,5082,3459,5277,3809,5316,3879,5701,4577,6168,5426,6441,5917,6642,5716,6565,5582,6298,5114,6221,4980,6481,4720,6820,4382,7565,4793,7780,4577m8131,4227l7264,3360,7489,3134,7936,2688,7711,2463,7039,3134,6448,2544,7224,1767,6999,1542,6033,2508,7941,4416,8131,4227m9707,2651l8213,1157,8024,968,8497,494,8272,269,7138,1403,7363,1629,7834,1157,9517,2840,9707,2651e" filled="true" fillcolor="#c0c0c0" stroked="false">
            <v:path arrowok="t"/>
            <v:fill opacity="32896f" type="solid"/>
            <w10:wrap type="none"/>
          </v:shape>
        </w:pict>
      </w:r>
      <w:r>
        <w:rPr>
          <w:rFonts w:ascii="Verdana"/>
          <w:sz w:val="22"/>
          <w:u w:val="single"/>
        </w:rPr>
        <w:t>Strategy</w:t>
      </w:r>
    </w:p>
    <w:p>
      <w:pPr>
        <w:pStyle w:val="ListParagraph"/>
        <w:numPr>
          <w:ilvl w:val="1"/>
          <w:numId w:val="10"/>
        </w:numPr>
        <w:tabs>
          <w:tab w:pos="912" w:val="left" w:leader="none"/>
        </w:tabs>
        <w:spacing w:line="261" w:lineRule="auto" w:before="15" w:after="0"/>
        <w:ind w:left="911" w:right="118" w:hanging="451"/>
        <w:jc w:val="left"/>
        <w:rPr>
          <w:sz w:val="24"/>
        </w:rPr>
      </w:pPr>
      <w:r>
        <w:rPr>
          <w:sz w:val="24"/>
        </w:rPr>
        <w:t>Facilitate community engagement for redevelopment, infill development, adaptive reuse, and revitalization initiatives to build County and community support for future</w:t>
      </w:r>
      <w:r>
        <w:rPr>
          <w:spacing w:val="-19"/>
          <w:sz w:val="24"/>
        </w:rPr>
        <w:t> </w:t>
      </w:r>
      <w:r>
        <w:rPr>
          <w:sz w:val="24"/>
        </w:rPr>
        <w:t>projects.</w:t>
      </w:r>
    </w:p>
    <w:p>
      <w:pPr>
        <w:spacing w:before="83"/>
        <w:ind w:left="460" w:right="0" w:firstLine="0"/>
        <w:jc w:val="left"/>
        <w:rPr>
          <w:rFonts w:ascii="Verdana"/>
          <w:sz w:val="22"/>
        </w:rPr>
      </w:pPr>
      <w:r>
        <w:rPr>
          <w:rFonts w:ascii="Verdana"/>
          <w:sz w:val="22"/>
          <w:u w:val="single"/>
        </w:rPr>
        <w:t>Actions</w:t>
      </w:r>
    </w:p>
    <w:p>
      <w:pPr>
        <w:pStyle w:val="ListParagraph"/>
        <w:numPr>
          <w:ilvl w:val="2"/>
          <w:numId w:val="10"/>
        </w:numPr>
        <w:tabs>
          <w:tab w:pos="1181" w:val="left" w:leader="none"/>
        </w:tabs>
        <w:spacing w:line="240" w:lineRule="auto" w:before="134" w:after="0"/>
        <w:ind w:left="1180" w:right="121" w:hanging="360"/>
        <w:jc w:val="both"/>
        <w:rPr>
          <w:sz w:val="22"/>
        </w:rPr>
      </w:pPr>
      <w:r>
        <w:rPr>
          <w:sz w:val="24"/>
        </w:rPr>
        <w:t>Develop criteria to identify and prioritize areas for redevelopment, infill development, adaptive reuse, and revitalization, with the Priority Commercial Redevelopment</w:t>
      </w:r>
      <w:r>
        <w:rPr>
          <w:spacing w:val="-36"/>
          <w:sz w:val="24"/>
        </w:rPr>
        <w:t> </w:t>
      </w:r>
      <w:r>
        <w:rPr>
          <w:sz w:val="24"/>
        </w:rPr>
        <w:t>Areas Map serving as the source for initial areas of</w:t>
      </w:r>
      <w:r>
        <w:rPr>
          <w:spacing w:val="-6"/>
          <w:sz w:val="24"/>
        </w:rPr>
        <w:t> </w:t>
      </w:r>
      <w:r>
        <w:rPr>
          <w:sz w:val="24"/>
        </w:rPr>
        <w:t>focus.</w:t>
      </w:r>
    </w:p>
    <w:p>
      <w:pPr>
        <w:pStyle w:val="ListParagraph"/>
        <w:numPr>
          <w:ilvl w:val="2"/>
          <w:numId w:val="10"/>
        </w:numPr>
        <w:tabs>
          <w:tab w:pos="1181" w:val="left" w:leader="none"/>
        </w:tabs>
        <w:spacing w:line="240" w:lineRule="auto" w:before="120" w:after="0"/>
        <w:ind w:left="1180" w:right="116" w:hanging="360"/>
        <w:jc w:val="both"/>
        <w:rPr>
          <w:sz w:val="22"/>
        </w:rPr>
      </w:pPr>
      <w:r>
        <w:rPr>
          <w:sz w:val="24"/>
        </w:rPr>
        <w:t>Create a common vision and objectives for areas identified for redevelopment, infill development, adaptive reuse, and revitalization through a public</w:t>
      </w:r>
      <w:r>
        <w:rPr>
          <w:spacing w:val="-4"/>
          <w:sz w:val="24"/>
        </w:rPr>
        <w:t> </w:t>
      </w:r>
      <w:r>
        <w:rPr>
          <w:sz w:val="24"/>
        </w:rPr>
        <w:t>process.</w:t>
      </w:r>
    </w:p>
    <w:p>
      <w:pPr>
        <w:pStyle w:val="ListParagraph"/>
        <w:numPr>
          <w:ilvl w:val="2"/>
          <w:numId w:val="10"/>
        </w:numPr>
        <w:tabs>
          <w:tab w:pos="1181" w:val="left" w:leader="none"/>
        </w:tabs>
        <w:spacing w:line="240" w:lineRule="auto" w:before="120" w:after="0"/>
        <w:ind w:left="1180" w:right="118" w:hanging="360"/>
        <w:jc w:val="both"/>
        <w:rPr>
          <w:sz w:val="22"/>
        </w:rPr>
      </w:pPr>
      <w:r>
        <w:rPr>
          <w:sz w:val="24"/>
        </w:rPr>
        <w:t>Address redevelopment, infill development, adaptive reuse, and revitalization as part of community and small area plans. Pay particular attention to a community’s historic assets and function in areas with underrecognized historic resources or limited</w:t>
      </w:r>
      <w:r>
        <w:rPr>
          <w:spacing w:val="-33"/>
          <w:sz w:val="24"/>
        </w:rPr>
        <w:t> </w:t>
      </w:r>
      <w:r>
        <w:rPr>
          <w:sz w:val="24"/>
        </w:rPr>
        <w:t>historic resources protections, such as Old Ashburn and Old Sterling.</w:t>
      </w:r>
    </w:p>
    <w:p>
      <w:pPr>
        <w:pStyle w:val="ListParagraph"/>
        <w:numPr>
          <w:ilvl w:val="2"/>
          <w:numId w:val="10"/>
        </w:numPr>
        <w:tabs>
          <w:tab w:pos="1181" w:val="left" w:leader="none"/>
        </w:tabs>
        <w:spacing w:line="240" w:lineRule="auto" w:before="120" w:after="0"/>
        <w:ind w:left="1180" w:right="120" w:hanging="360"/>
        <w:jc w:val="both"/>
        <w:rPr>
          <w:sz w:val="22"/>
        </w:rPr>
      </w:pPr>
      <w:r>
        <w:rPr>
          <w:sz w:val="24"/>
        </w:rPr>
        <w:t>Identify methods for ensuring developers will follow through on commitments to communities that are products of a facilitated engagement process between the developer and the surrounding neighborhoods and developments.</w:t>
      </w:r>
    </w:p>
    <w:p>
      <w:pPr>
        <w:pStyle w:val="ListParagraph"/>
        <w:numPr>
          <w:ilvl w:val="2"/>
          <w:numId w:val="10"/>
        </w:numPr>
        <w:tabs>
          <w:tab w:pos="1181" w:val="left" w:leader="none"/>
        </w:tabs>
        <w:spacing w:line="240" w:lineRule="auto" w:before="120" w:after="0"/>
        <w:ind w:left="1180" w:right="120" w:hanging="360"/>
        <w:jc w:val="both"/>
        <w:rPr>
          <w:sz w:val="22"/>
        </w:rPr>
      </w:pPr>
      <w:r>
        <w:rPr>
          <w:sz w:val="24"/>
        </w:rPr>
        <w:t>Evaluate the creation of overlay districts to encourage revitalization and convey community support and buy-in for investment in priority/targeted</w:t>
      </w:r>
      <w:r>
        <w:rPr>
          <w:spacing w:val="-6"/>
          <w:sz w:val="24"/>
        </w:rPr>
        <w:t> </w:t>
      </w:r>
      <w:r>
        <w:rPr>
          <w:sz w:val="24"/>
        </w:rPr>
        <w:t>areas.</w:t>
      </w:r>
    </w:p>
    <w:p>
      <w:pPr>
        <w:spacing w:before="171"/>
        <w:ind w:left="100" w:right="0" w:firstLine="0"/>
        <w:jc w:val="left"/>
        <w:rPr>
          <w:rFonts w:ascii="Verdana"/>
          <w:sz w:val="22"/>
        </w:rPr>
      </w:pPr>
      <w:r>
        <w:rPr>
          <w:rFonts w:ascii="Verdana"/>
          <w:sz w:val="22"/>
          <w:u w:val="single"/>
        </w:rPr>
        <w:t>Strategy</w:t>
      </w:r>
    </w:p>
    <w:p>
      <w:pPr>
        <w:pStyle w:val="ListParagraph"/>
        <w:numPr>
          <w:ilvl w:val="1"/>
          <w:numId w:val="10"/>
        </w:numPr>
        <w:tabs>
          <w:tab w:pos="1091" w:val="left" w:leader="none"/>
          <w:tab w:pos="1092" w:val="left" w:leader="none"/>
        </w:tabs>
        <w:spacing w:line="256" w:lineRule="auto" w:before="15" w:after="0"/>
        <w:ind w:left="1091" w:right="118" w:hanging="631"/>
        <w:jc w:val="left"/>
        <w:rPr>
          <w:sz w:val="24"/>
        </w:rPr>
      </w:pPr>
      <w:r>
        <w:rPr>
          <w:sz w:val="24"/>
        </w:rPr>
        <w:t>Support projects that provide community amenities, fulfill community needs, and benefit the surrounding</w:t>
      </w:r>
      <w:r>
        <w:rPr>
          <w:spacing w:val="-3"/>
          <w:sz w:val="24"/>
        </w:rPr>
        <w:t> </w:t>
      </w:r>
      <w:r>
        <w:rPr>
          <w:sz w:val="24"/>
        </w:rPr>
        <w:t>communities.</w:t>
      </w:r>
    </w:p>
    <w:p>
      <w:pPr>
        <w:spacing w:before="174"/>
        <w:ind w:left="460" w:right="0" w:firstLine="0"/>
        <w:jc w:val="left"/>
        <w:rPr>
          <w:rFonts w:ascii="Verdana"/>
          <w:sz w:val="22"/>
        </w:rPr>
      </w:pPr>
      <w:r>
        <w:rPr>
          <w:rFonts w:ascii="Verdana"/>
          <w:sz w:val="22"/>
          <w:u w:val="single"/>
        </w:rPr>
        <w:t>Actions</w:t>
      </w:r>
    </w:p>
    <w:p>
      <w:pPr>
        <w:pStyle w:val="ListParagraph"/>
        <w:numPr>
          <w:ilvl w:val="2"/>
          <w:numId w:val="10"/>
        </w:numPr>
        <w:tabs>
          <w:tab w:pos="1271" w:val="left" w:leader="none"/>
          <w:tab w:pos="1272" w:val="left" w:leader="none"/>
        </w:tabs>
        <w:spacing w:line="240" w:lineRule="auto" w:before="13" w:after="0"/>
        <w:ind w:left="1271" w:right="121" w:hanging="451"/>
        <w:jc w:val="left"/>
        <w:rPr>
          <w:sz w:val="24"/>
        </w:rPr>
      </w:pPr>
      <w:r>
        <w:rPr>
          <w:sz w:val="24"/>
        </w:rPr>
        <w:t>Conduct analysis of local market demands to determine what is needed to foster successful</w:t>
      </w:r>
      <w:r>
        <w:rPr>
          <w:spacing w:val="-1"/>
          <w:sz w:val="24"/>
        </w:rPr>
        <w:t> </w:t>
      </w:r>
      <w:r>
        <w:rPr>
          <w:sz w:val="24"/>
        </w:rPr>
        <w:t>redevelopment.</w:t>
      </w:r>
    </w:p>
    <w:p>
      <w:pPr>
        <w:pStyle w:val="ListParagraph"/>
        <w:numPr>
          <w:ilvl w:val="2"/>
          <w:numId w:val="10"/>
        </w:numPr>
        <w:tabs>
          <w:tab w:pos="1271" w:val="left" w:leader="none"/>
          <w:tab w:pos="1272" w:val="left" w:leader="none"/>
        </w:tabs>
        <w:spacing w:line="240" w:lineRule="auto" w:before="161" w:after="0"/>
        <w:ind w:left="1271" w:right="117" w:hanging="451"/>
        <w:jc w:val="left"/>
        <w:rPr>
          <w:sz w:val="24"/>
        </w:rPr>
      </w:pPr>
      <w:r>
        <w:rPr>
          <w:sz w:val="24"/>
        </w:rPr>
        <w:t>Evaluate</w:t>
      </w:r>
      <w:r>
        <w:rPr>
          <w:spacing w:val="-10"/>
          <w:sz w:val="24"/>
        </w:rPr>
        <w:t> </w:t>
      </w:r>
      <w:r>
        <w:rPr>
          <w:sz w:val="24"/>
        </w:rPr>
        <w:t>the</w:t>
      </w:r>
      <w:r>
        <w:rPr>
          <w:spacing w:val="-7"/>
          <w:sz w:val="24"/>
        </w:rPr>
        <w:t> </w:t>
      </w:r>
      <w:r>
        <w:rPr>
          <w:sz w:val="24"/>
        </w:rPr>
        <w:t>appropriateness</w:t>
      </w:r>
      <w:r>
        <w:rPr>
          <w:spacing w:val="-8"/>
          <w:sz w:val="24"/>
        </w:rPr>
        <w:t> </w:t>
      </w:r>
      <w:r>
        <w:rPr>
          <w:sz w:val="24"/>
        </w:rPr>
        <w:t>of</w:t>
      </w:r>
      <w:r>
        <w:rPr>
          <w:spacing w:val="-9"/>
          <w:sz w:val="24"/>
        </w:rPr>
        <w:t> </w:t>
      </w:r>
      <w:r>
        <w:rPr>
          <w:sz w:val="24"/>
        </w:rPr>
        <w:t>mixed</w:t>
      </w:r>
      <w:r>
        <w:rPr>
          <w:spacing w:val="-9"/>
          <w:sz w:val="24"/>
        </w:rPr>
        <w:t> </w:t>
      </w:r>
      <w:r>
        <w:rPr>
          <w:sz w:val="24"/>
        </w:rPr>
        <w:t>use</w:t>
      </w:r>
      <w:r>
        <w:rPr>
          <w:spacing w:val="-7"/>
          <w:sz w:val="24"/>
        </w:rPr>
        <w:t> </w:t>
      </w:r>
      <w:r>
        <w:rPr>
          <w:sz w:val="24"/>
        </w:rPr>
        <w:t>development</w:t>
      </w:r>
      <w:r>
        <w:rPr>
          <w:spacing w:val="-9"/>
          <w:sz w:val="24"/>
        </w:rPr>
        <w:t> </w:t>
      </w:r>
      <w:r>
        <w:rPr>
          <w:sz w:val="24"/>
        </w:rPr>
        <w:t>for</w:t>
      </w:r>
      <w:r>
        <w:rPr>
          <w:spacing w:val="-10"/>
          <w:sz w:val="24"/>
        </w:rPr>
        <w:t> </w:t>
      </w:r>
      <w:r>
        <w:rPr>
          <w:sz w:val="24"/>
        </w:rPr>
        <w:t>projects</w:t>
      </w:r>
      <w:r>
        <w:rPr>
          <w:spacing w:val="-8"/>
          <w:sz w:val="24"/>
        </w:rPr>
        <w:t> </w:t>
      </w:r>
      <w:r>
        <w:rPr>
          <w:sz w:val="24"/>
        </w:rPr>
        <w:t>through</w:t>
      </w:r>
      <w:r>
        <w:rPr>
          <w:spacing w:val="-2"/>
          <w:sz w:val="24"/>
        </w:rPr>
        <w:t> </w:t>
      </w:r>
      <w:r>
        <w:rPr>
          <w:sz w:val="24"/>
        </w:rPr>
        <w:t>the</w:t>
      </w:r>
      <w:r>
        <w:rPr>
          <w:spacing w:val="-9"/>
          <w:sz w:val="24"/>
        </w:rPr>
        <w:t> </w:t>
      </w:r>
      <w:r>
        <w:rPr>
          <w:sz w:val="24"/>
        </w:rPr>
        <w:t>small area plan</w:t>
      </w:r>
      <w:r>
        <w:rPr>
          <w:spacing w:val="-2"/>
          <w:sz w:val="24"/>
        </w:rPr>
        <w:t> </w:t>
      </w:r>
      <w:r>
        <w:rPr>
          <w:sz w:val="24"/>
        </w:rPr>
        <w:t>process.</w:t>
      </w:r>
    </w:p>
    <w:p>
      <w:pPr>
        <w:pStyle w:val="ListParagraph"/>
        <w:numPr>
          <w:ilvl w:val="2"/>
          <w:numId w:val="10"/>
        </w:numPr>
        <w:tabs>
          <w:tab w:pos="1271" w:val="left" w:leader="none"/>
          <w:tab w:pos="1272" w:val="left" w:leader="none"/>
        </w:tabs>
        <w:spacing w:line="240" w:lineRule="auto" w:before="161" w:after="0"/>
        <w:ind w:left="1271" w:right="121" w:hanging="451"/>
        <w:jc w:val="left"/>
        <w:rPr>
          <w:sz w:val="24"/>
        </w:rPr>
      </w:pPr>
      <w:r>
        <w:rPr>
          <w:sz w:val="24"/>
        </w:rPr>
        <w:t>Ensure projects increase and diversify housing opportunities when in conformance with other Plan</w:t>
      </w:r>
      <w:r>
        <w:rPr>
          <w:spacing w:val="-1"/>
          <w:sz w:val="24"/>
        </w:rPr>
        <w:t> </w:t>
      </w:r>
      <w:r>
        <w:rPr>
          <w:sz w:val="24"/>
        </w:rPr>
        <w:t>policies.</w:t>
      </w:r>
    </w:p>
    <w:p>
      <w:pPr>
        <w:pStyle w:val="ListParagraph"/>
        <w:numPr>
          <w:ilvl w:val="2"/>
          <w:numId w:val="10"/>
        </w:numPr>
        <w:tabs>
          <w:tab w:pos="1271" w:val="left" w:leader="none"/>
          <w:tab w:pos="1272" w:val="left" w:leader="none"/>
        </w:tabs>
        <w:spacing w:line="240" w:lineRule="auto" w:before="158" w:after="0"/>
        <w:ind w:left="1271" w:right="116" w:hanging="451"/>
        <w:jc w:val="left"/>
        <w:rPr>
          <w:sz w:val="24"/>
        </w:rPr>
      </w:pPr>
      <w:r>
        <w:rPr>
          <w:sz w:val="24"/>
        </w:rPr>
        <w:t>Require</w:t>
      </w:r>
      <w:r>
        <w:rPr>
          <w:spacing w:val="-13"/>
          <w:sz w:val="24"/>
        </w:rPr>
        <w:t> </w:t>
      </w:r>
      <w:r>
        <w:rPr>
          <w:sz w:val="24"/>
        </w:rPr>
        <w:t>redevelopment</w:t>
      </w:r>
      <w:r>
        <w:rPr>
          <w:spacing w:val="-12"/>
          <w:sz w:val="24"/>
        </w:rPr>
        <w:t> </w:t>
      </w:r>
      <w:r>
        <w:rPr>
          <w:sz w:val="24"/>
        </w:rPr>
        <w:t>projects</w:t>
      </w:r>
      <w:r>
        <w:rPr>
          <w:spacing w:val="-11"/>
          <w:sz w:val="24"/>
        </w:rPr>
        <w:t> </w:t>
      </w:r>
      <w:r>
        <w:rPr>
          <w:sz w:val="24"/>
        </w:rPr>
        <w:t>to</w:t>
      </w:r>
      <w:r>
        <w:rPr>
          <w:spacing w:val="-12"/>
          <w:sz w:val="24"/>
        </w:rPr>
        <w:t> </w:t>
      </w:r>
      <w:r>
        <w:rPr>
          <w:sz w:val="24"/>
        </w:rPr>
        <w:t>replace,</w:t>
      </w:r>
      <w:r>
        <w:rPr>
          <w:spacing w:val="-12"/>
          <w:sz w:val="24"/>
        </w:rPr>
        <w:t> </w:t>
      </w:r>
      <w:r>
        <w:rPr>
          <w:sz w:val="24"/>
        </w:rPr>
        <w:t>at</w:t>
      </w:r>
      <w:r>
        <w:rPr>
          <w:spacing w:val="-12"/>
          <w:sz w:val="24"/>
        </w:rPr>
        <w:t> </w:t>
      </w:r>
      <w:r>
        <w:rPr>
          <w:sz w:val="24"/>
        </w:rPr>
        <w:t>a</w:t>
      </w:r>
      <w:r>
        <w:rPr>
          <w:spacing w:val="-13"/>
          <w:sz w:val="24"/>
        </w:rPr>
        <w:t> </w:t>
      </w:r>
      <w:r>
        <w:rPr>
          <w:sz w:val="24"/>
        </w:rPr>
        <w:t>minimum,</w:t>
      </w:r>
      <w:r>
        <w:rPr>
          <w:spacing w:val="-12"/>
          <w:sz w:val="24"/>
        </w:rPr>
        <w:t> </w:t>
      </w:r>
      <w:r>
        <w:rPr>
          <w:sz w:val="24"/>
        </w:rPr>
        <w:t>market-provided</w:t>
      </w:r>
      <w:r>
        <w:rPr>
          <w:spacing w:val="-12"/>
          <w:sz w:val="24"/>
        </w:rPr>
        <w:t> </w:t>
      </w:r>
      <w:r>
        <w:rPr>
          <w:sz w:val="24"/>
        </w:rPr>
        <w:t>affordable units lost through a redevelopment process.</w:t>
      </w:r>
    </w:p>
    <w:p>
      <w:pPr>
        <w:pStyle w:val="ListParagraph"/>
        <w:numPr>
          <w:ilvl w:val="2"/>
          <w:numId w:val="10"/>
        </w:numPr>
        <w:tabs>
          <w:tab w:pos="1271" w:val="left" w:leader="none"/>
          <w:tab w:pos="1272" w:val="left" w:leader="none"/>
        </w:tabs>
        <w:spacing w:line="240" w:lineRule="auto" w:before="161" w:after="0"/>
        <w:ind w:left="1271" w:right="116" w:hanging="451"/>
        <w:jc w:val="left"/>
        <w:rPr>
          <w:sz w:val="24"/>
        </w:rPr>
      </w:pPr>
      <w:r>
        <w:rPr>
          <w:sz w:val="24"/>
        </w:rPr>
        <w:t>Develop strategies to address displacement and housing affordability, when redevelopment</w:t>
      </w:r>
      <w:r>
        <w:rPr>
          <w:spacing w:val="-1"/>
          <w:sz w:val="24"/>
        </w:rPr>
        <w:t> </w:t>
      </w:r>
      <w:r>
        <w:rPr>
          <w:sz w:val="24"/>
        </w:rPr>
        <w:t>occurs.</w:t>
      </w:r>
    </w:p>
    <w:p>
      <w:pPr>
        <w:spacing w:after="0" w:line="240" w:lineRule="auto"/>
        <w:jc w:val="left"/>
        <w:rPr>
          <w:sz w:val="24"/>
        </w:rPr>
        <w:sectPr>
          <w:pgSz w:w="12240" w:h="15840"/>
          <w:pgMar w:header="719" w:footer="540" w:top="1300" w:bottom="740" w:left="1340" w:right="1320"/>
        </w:sectPr>
      </w:pPr>
    </w:p>
    <w:p>
      <w:pPr>
        <w:pStyle w:val="ListParagraph"/>
        <w:numPr>
          <w:ilvl w:val="2"/>
          <w:numId w:val="10"/>
        </w:numPr>
        <w:tabs>
          <w:tab w:pos="1272" w:val="left" w:leader="none"/>
        </w:tabs>
        <w:spacing w:line="240" w:lineRule="auto" w:before="115" w:after="0"/>
        <w:ind w:left="1271" w:right="112" w:hanging="451"/>
        <w:jc w:val="both"/>
        <w:rPr>
          <w:sz w:val="24"/>
        </w:rPr>
      </w:pPr>
      <w:r>
        <w:rPr>
          <w:sz w:val="24"/>
        </w:rPr>
        <w:t>Require the provision of comparable community amenities to any lost through a redevelopment process.</w:t>
      </w:r>
    </w:p>
    <w:p>
      <w:pPr>
        <w:pStyle w:val="ListParagraph"/>
        <w:numPr>
          <w:ilvl w:val="2"/>
          <w:numId w:val="10"/>
        </w:numPr>
        <w:tabs>
          <w:tab w:pos="1272" w:val="left" w:leader="none"/>
        </w:tabs>
        <w:spacing w:line="240" w:lineRule="auto" w:before="161" w:after="0"/>
        <w:ind w:left="1271" w:right="120" w:hanging="451"/>
        <w:jc w:val="both"/>
        <w:rPr>
          <w:sz w:val="24"/>
        </w:rPr>
      </w:pPr>
      <w:r>
        <w:rPr>
          <w:sz w:val="24"/>
        </w:rPr>
        <w:t>Encourage</w:t>
      </w:r>
      <w:r>
        <w:rPr>
          <w:spacing w:val="-13"/>
          <w:sz w:val="24"/>
        </w:rPr>
        <w:t> </w:t>
      </w:r>
      <w:r>
        <w:rPr>
          <w:sz w:val="24"/>
        </w:rPr>
        <w:t>annexation</w:t>
      </w:r>
      <w:r>
        <w:rPr>
          <w:spacing w:val="-12"/>
          <w:sz w:val="24"/>
        </w:rPr>
        <w:t> </w:t>
      </w:r>
      <w:r>
        <w:rPr>
          <w:sz w:val="24"/>
        </w:rPr>
        <w:t>of</w:t>
      </w:r>
      <w:r>
        <w:rPr>
          <w:spacing w:val="-10"/>
          <w:sz w:val="24"/>
        </w:rPr>
        <w:t> </w:t>
      </w:r>
      <w:r>
        <w:rPr>
          <w:sz w:val="24"/>
        </w:rPr>
        <w:t>residential</w:t>
      </w:r>
      <w:r>
        <w:rPr>
          <w:spacing w:val="-12"/>
          <w:sz w:val="24"/>
        </w:rPr>
        <w:t> </w:t>
      </w:r>
      <w:r>
        <w:rPr>
          <w:sz w:val="24"/>
        </w:rPr>
        <w:t>projects</w:t>
      </w:r>
      <w:r>
        <w:rPr>
          <w:spacing w:val="-11"/>
          <w:sz w:val="24"/>
        </w:rPr>
        <w:t> </w:t>
      </w:r>
      <w:r>
        <w:rPr>
          <w:sz w:val="24"/>
        </w:rPr>
        <w:t>into</w:t>
      </w:r>
      <w:r>
        <w:rPr>
          <w:spacing w:val="-12"/>
          <w:sz w:val="24"/>
        </w:rPr>
        <w:t> </w:t>
      </w:r>
      <w:r>
        <w:rPr>
          <w:sz w:val="24"/>
        </w:rPr>
        <w:t>adjoining</w:t>
      </w:r>
      <w:r>
        <w:rPr>
          <w:spacing w:val="-14"/>
          <w:sz w:val="24"/>
        </w:rPr>
        <w:t> </w:t>
      </w:r>
      <w:r>
        <w:rPr>
          <w:sz w:val="24"/>
        </w:rPr>
        <w:t>homeowners’</w:t>
      </w:r>
      <w:r>
        <w:rPr>
          <w:spacing w:val="-13"/>
          <w:sz w:val="24"/>
        </w:rPr>
        <w:t> </w:t>
      </w:r>
      <w:r>
        <w:rPr>
          <w:sz w:val="24"/>
        </w:rPr>
        <w:t>associations (HOAs) to make the provision of amenities more</w:t>
      </w:r>
      <w:r>
        <w:rPr>
          <w:spacing w:val="-5"/>
          <w:sz w:val="24"/>
        </w:rPr>
        <w:t> </w:t>
      </w:r>
      <w:r>
        <w:rPr>
          <w:sz w:val="24"/>
        </w:rPr>
        <w:t>economical.</w:t>
      </w:r>
    </w:p>
    <w:p>
      <w:pPr>
        <w:pStyle w:val="ListParagraph"/>
        <w:numPr>
          <w:ilvl w:val="2"/>
          <w:numId w:val="10"/>
        </w:numPr>
        <w:tabs>
          <w:tab w:pos="1272" w:val="left" w:leader="none"/>
        </w:tabs>
        <w:spacing w:line="240" w:lineRule="auto" w:before="158" w:after="0"/>
        <w:ind w:left="1271" w:right="115" w:hanging="451"/>
        <w:jc w:val="both"/>
        <w:rPr>
          <w:sz w:val="24"/>
        </w:rPr>
      </w:pPr>
      <w:r>
        <w:rPr/>
        <w:pict>
          <v:shape style="position:absolute;margin-left:90.066002pt;margin-top:51.633118pt;width:395.3pt;height:419pt;mso-position-horizontal-relative:page;mso-position-vertical-relative:paragraph;z-index:-10264" coordorigin="1801,1033" coordsize="7906,8380" path="m4498,8296l4492,8223,4477,8145,4455,8062,4432,7993,4402,7921,4367,7846,4325,7768,4276,7687,4236,7628,4200,7577,4200,8263,4197,8319,4185,8376,4167,8434,4138,8493,4097,8556,4044,8622,3979,8691,3674,8997,2216,7539,2517,7238,2598,7162,2672,7102,2740,7059,2801,7032,2868,7018,2941,7014,3020,7021,3105,7039,3195,7068,3255,7093,3317,7126,3380,7164,3446,7209,3514,7261,3584,7319,3656,7384,3729,7455,3789,7516,3844,7577,3896,7636,3943,7694,3986,7750,4024,7805,4059,7859,4101,7934,4136,8006,4163,8076,4183,8143,4196,8207,4200,8263,4200,7577,4194,7569,4148,7509,4098,7448,4045,7387,3989,7326,3929,7264,3865,7202,3801,7143,3737,7088,3673,7037,3643,7014,3609,6989,3546,6944,3482,6903,3419,6865,3346,6827,3274,6795,3203,6768,3132,6746,3062,6729,2992,6717,2923,6710,2850,6708,2779,6715,2709,6730,2642,6753,2577,6783,2528,6811,2476,6848,2420,6894,2359,6948,2294,7010,1801,7504,3710,9412,4124,8997,4226,8895,4287,8830,4341,8765,4386,8699,4424,8632,4454,8566,4476,8499,4491,8433,4498,8365,4498,8296m6418,6703l6056,6576,5650,6433,5561,6404,5475,6380,5393,6361,5364,6355,5314,6346,5239,6336,5193,6334,5143,6338,5089,6345,5030,6355,5074,6286,5109,6216,5136,6147,5154,6078,5164,6010,5165,5941,5157,5874,5139,5796,5111,5719,5075,5645,5030,5572,4976,5501,4956,5479,4913,5433,4872,5395,4872,5952,4868,6008,4854,6062,4830,6119,4794,6177,4747,6238,4687,6302,4413,6576,4280,6709,3649,6078,4102,5625,4166,5568,4229,5525,4293,5495,4358,5480,4422,5479,4501,5494,4577,5524,4649,5568,4718,5628,4761,5676,4797,5726,4827,5780,4851,5837,4867,5895,4872,5952,4872,5395,4849,5373,4782,5321,4713,5275,4641,5237,4566,5205,4474,5176,4386,5164,4303,5166,4225,5181,4163,5206,4098,5243,4030,5291,3958,5351,3883,5422,3248,6056,5157,7965,5346,7775,4499,6928,4718,6709,4753,6675,4783,6647,4810,6626,4833,6612,4863,6598,4896,6587,4932,6580,4971,6576,5014,6576,5066,6581,5125,6591,5194,6608,5256,6625,5328,6646,5407,6671,5496,6700,6180,6941,6418,6703m7780,5341l7415,5146,6555,4692,6555,4999,6070,5484,5989,5341,5748,4910,5708,4839,5668,4767,5629,4702,5590,4637,5550,4573,5509,4510,5467,4448,5424,4386,5380,4325,5436,4361,5498,4399,5564,4439,5635,4481,5792,4571,6555,4999,6555,4692,5862,4325,5286,4019,5082,4223,5277,4573,5316,4643,5701,5341,6168,6190,6441,6681,6642,6479,6565,6346,6298,5878,6221,5744,6481,5484,6820,5146,7565,5557,7780,5341m8131,4990l7264,4124,7489,3898,7936,3452,7711,3226,7039,3898,6448,3307,7224,2531,6999,2306,6033,3272,7941,5180,8131,4990m9707,3414l8213,1921,8024,1731,8497,1258,8272,1033,7138,2167,7363,2392,7834,1921,9517,3604,9707,3414e" filled="true" fillcolor="#c0c0c0" stroked="false">
            <v:path arrowok="t"/>
            <v:fill opacity="32896f" type="solid"/>
            <w10:wrap type="none"/>
          </v:shape>
        </w:pict>
      </w:r>
      <w:r>
        <w:rPr>
          <w:sz w:val="24"/>
        </w:rPr>
        <w:t>Develop</w:t>
      </w:r>
      <w:r>
        <w:rPr>
          <w:spacing w:val="-16"/>
          <w:sz w:val="24"/>
        </w:rPr>
        <w:t> </w:t>
      </w:r>
      <w:r>
        <w:rPr>
          <w:sz w:val="24"/>
        </w:rPr>
        <w:t>criteria,</w:t>
      </w:r>
      <w:r>
        <w:rPr>
          <w:spacing w:val="-17"/>
          <w:sz w:val="24"/>
        </w:rPr>
        <w:t> </w:t>
      </w:r>
      <w:r>
        <w:rPr>
          <w:sz w:val="24"/>
        </w:rPr>
        <w:t>such</w:t>
      </w:r>
      <w:r>
        <w:rPr>
          <w:spacing w:val="-17"/>
          <w:sz w:val="24"/>
        </w:rPr>
        <w:t> </w:t>
      </w:r>
      <w:r>
        <w:rPr>
          <w:sz w:val="24"/>
        </w:rPr>
        <w:t>as</w:t>
      </w:r>
      <w:r>
        <w:rPr>
          <w:spacing w:val="-14"/>
          <w:sz w:val="24"/>
        </w:rPr>
        <w:t> </w:t>
      </w:r>
      <w:r>
        <w:rPr>
          <w:sz w:val="24"/>
        </w:rPr>
        <w:t>site</w:t>
      </w:r>
      <w:r>
        <w:rPr>
          <w:spacing w:val="-18"/>
          <w:sz w:val="24"/>
        </w:rPr>
        <w:t> </w:t>
      </w:r>
      <w:r>
        <w:rPr>
          <w:sz w:val="24"/>
        </w:rPr>
        <w:t>constraints,</w:t>
      </w:r>
      <w:r>
        <w:rPr>
          <w:spacing w:val="-17"/>
          <w:sz w:val="24"/>
        </w:rPr>
        <w:t> </w:t>
      </w:r>
      <w:r>
        <w:rPr>
          <w:sz w:val="24"/>
        </w:rPr>
        <w:t>important</w:t>
      </w:r>
      <w:r>
        <w:rPr>
          <w:spacing w:val="-16"/>
          <w:sz w:val="24"/>
        </w:rPr>
        <w:t> </w:t>
      </w:r>
      <w:r>
        <w:rPr>
          <w:sz w:val="24"/>
        </w:rPr>
        <w:t>resources,</w:t>
      </w:r>
      <w:r>
        <w:rPr>
          <w:spacing w:val="-17"/>
          <w:sz w:val="24"/>
        </w:rPr>
        <w:t> </w:t>
      </w:r>
      <w:r>
        <w:rPr>
          <w:sz w:val="24"/>
        </w:rPr>
        <w:t>and</w:t>
      </w:r>
      <w:r>
        <w:rPr>
          <w:spacing w:val="-14"/>
          <w:sz w:val="24"/>
        </w:rPr>
        <w:t> </w:t>
      </w:r>
      <w:r>
        <w:rPr>
          <w:sz w:val="24"/>
        </w:rPr>
        <w:t>community</w:t>
      </w:r>
      <w:r>
        <w:rPr>
          <w:spacing w:val="-22"/>
          <w:sz w:val="24"/>
        </w:rPr>
        <w:t> </w:t>
      </w:r>
      <w:r>
        <w:rPr>
          <w:sz w:val="24"/>
        </w:rPr>
        <w:t>amenity gaps, to identify infill sites appropriate for use as park, civic, and open space rather than private</w:t>
      </w:r>
      <w:r>
        <w:rPr>
          <w:spacing w:val="-2"/>
          <w:sz w:val="24"/>
        </w:rPr>
        <w:t> </w:t>
      </w:r>
      <w:r>
        <w:rPr>
          <w:sz w:val="24"/>
        </w:rPr>
        <w:t>development.</w:t>
      </w:r>
    </w:p>
    <w:p>
      <w:pPr>
        <w:pStyle w:val="ListParagraph"/>
        <w:numPr>
          <w:ilvl w:val="2"/>
          <w:numId w:val="10"/>
        </w:numPr>
        <w:tabs>
          <w:tab w:pos="1272" w:val="left" w:leader="none"/>
        </w:tabs>
        <w:spacing w:line="240" w:lineRule="auto" w:before="161" w:after="0"/>
        <w:ind w:left="1271" w:right="121" w:hanging="451"/>
        <w:jc w:val="both"/>
        <w:rPr>
          <w:sz w:val="24"/>
        </w:rPr>
      </w:pPr>
      <w:r>
        <w:rPr>
          <w:sz w:val="24"/>
        </w:rPr>
        <w:t>Endorse the development of interim uses on underutilized properties that are compatible with the surrounding development</w:t>
      </w:r>
      <w:r>
        <w:rPr>
          <w:spacing w:val="-5"/>
          <w:sz w:val="24"/>
        </w:rPr>
        <w:t> </w:t>
      </w:r>
      <w:r>
        <w:rPr>
          <w:sz w:val="24"/>
        </w:rPr>
        <w:t>pattern.</w:t>
      </w:r>
    </w:p>
    <w:p>
      <w:pPr>
        <w:spacing w:before="171"/>
        <w:ind w:left="100" w:right="0" w:firstLine="0"/>
        <w:jc w:val="left"/>
        <w:rPr>
          <w:rFonts w:ascii="Verdana"/>
          <w:sz w:val="22"/>
        </w:rPr>
      </w:pPr>
      <w:r>
        <w:rPr>
          <w:rFonts w:ascii="Verdana"/>
          <w:sz w:val="22"/>
          <w:u w:val="single"/>
        </w:rPr>
        <w:t>Strategy</w:t>
      </w:r>
    </w:p>
    <w:p>
      <w:pPr>
        <w:pStyle w:val="ListParagraph"/>
        <w:numPr>
          <w:ilvl w:val="1"/>
          <w:numId w:val="10"/>
        </w:numPr>
        <w:tabs>
          <w:tab w:pos="1091" w:val="left" w:leader="none"/>
          <w:tab w:pos="1092" w:val="left" w:leader="none"/>
        </w:tabs>
        <w:spacing w:line="259" w:lineRule="auto" w:before="16" w:after="0"/>
        <w:ind w:left="1091" w:right="118" w:hanging="631"/>
        <w:jc w:val="left"/>
        <w:rPr>
          <w:sz w:val="24"/>
        </w:rPr>
      </w:pPr>
      <w:r>
        <w:rPr>
          <w:sz w:val="24"/>
        </w:rPr>
        <w:t>Enhance established residential communities specifically in need of revitalization through methods that will not involve a redevelopment</w:t>
      </w:r>
      <w:r>
        <w:rPr>
          <w:spacing w:val="-5"/>
          <w:sz w:val="24"/>
        </w:rPr>
        <w:t> </w:t>
      </w:r>
      <w:r>
        <w:rPr>
          <w:sz w:val="24"/>
        </w:rPr>
        <w:t>project.</w:t>
      </w:r>
    </w:p>
    <w:p>
      <w:pPr>
        <w:spacing w:before="86"/>
        <w:ind w:left="460" w:right="0" w:firstLine="0"/>
        <w:jc w:val="left"/>
        <w:rPr>
          <w:rFonts w:ascii="Verdana"/>
          <w:sz w:val="22"/>
        </w:rPr>
      </w:pPr>
      <w:r>
        <w:rPr>
          <w:rFonts w:ascii="Verdana"/>
          <w:sz w:val="22"/>
          <w:u w:val="single"/>
        </w:rPr>
        <w:t>Actions</w:t>
      </w:r>
    </w:p>
    <w:p>
      <w:pPr>
        <w:pStyle w:val="ListParagraph"/>
        <w:numPr>
          <w:ilvl w:val="2"/>
          <w:numId w:val="10"/>
        </w:numPr>
        <w:tabs>
          <w:tab w:pos="1176" w:val="left" w:leader="none"/>
        </w:tabs>
        <w:spacing w:line="240" w:lineRule="auto" w:before="15" w:after="0"/>
        <w:ind w:left="1175" w:right="117" w:hanging="360"/>
        <w:jc w:val="both"/>
        <w:rPr>
          <w:sz w:val="22"/>
        </w:rPr>
      </w:pPr>
      <w:r>
        <w:rPr>
          <w:sz w:val="24"/>
        </w:rPr>
        <w:t>Identify and prioritize neighborhoods with an emerging need for revitalization and reinvestment,</w:t>
      </w:r>
      <w:r>
        <w:rPr>
          <w:spacing w:val="-6"/>
          <w:sz w:val="24"/>
        </w:rPr>
        <w:t> </w:t>
      </w:r>
      <w:r>
        <w:rPr>
          <w:sz w:val="24"/>
        </w:rPr>
        <w:t>and</w:t>
      </w:r>
      <w:r>
        <w:rPr>
          <w:spacing w:val="-6"/>
          <w:sz w:val="24"/>
        </w:rPr>
        <w:t> </w:t>
      </w:r>
      <w:r>
        <w:rPr>
          <w:sz w:val="24"/>
        </w:rPr>
        <w:t>work</w:t>
      </w:r>
      <w:r>
        <w:rPr>
          <w:spacing w:val="-4"/>
          <w:sz w:val="24"/>
        </w:rPr>
        <w:t> </w:t>
      </w:r>
      <w:r>
        <w:rPr>
          <w:sz w:val="24"/>
        </w:rPr>
        <w:t>with</w:t>
      </w:r>
      <w:r>
        <w:rPr>
          <w:spacing w:val="-6"/>
          <w:sz w:val="24"/>
        </w:rPr>
        <w:t> </w:t>
      </w:r>
      <w:r>
        <w:rPr>
          <w:sz w:val="24"/>
        </w:rPr>
        <w:t>these</w:t>
      </w:r>
      <w:r>
        <w:rPr>
          <w:spacing w:val="-7"/>
          <w:sz w:val="24"/>
        </w:rPr>
        <w:t> </w:t>
      </w:r>
      <w:r>
        <w:rPr>
          <w:sz w:val="24"/>
        </w:rPr>
        <w:t>communities</w:t>
      </w:r>
      <w:r>
        <w:rPr>
          <w:spacing w:val="-6"/>
          <w:sz w:val="24"/>
        </w:rPr>
        <w:t> </w:t>
      </w:r>
      <w:r>
        <w:rPr>
          <w:sz w:val="24"/>
        </w:rPr>
        <w:t>to</w:t>
      </w:r>
      <w:r>
        <w:rPr>
          <w:spacing w:val="-6"/>
          <w:sz w:val="24"/>
        </w:rPr>
        <w:t> </w:t>
      </w:r>
      <w:r>
        <w:rPr>
          <w:sz w:val="24"/>
        </w:rPr>
        <w:t>identify</w:t>
      </w:r>
      <w:r>
        <w:rPr>
          <w:spacing w:val="-13"/>
          <w:sz w:val="24"/>
        </w:rPr>
        <w:t> </w:t>
      </w:r>
      <w:r>
        <w:rPr>
          <w:sz w:val="24"/>
        </w:rPr>
        <w:t>needs</w:t>
      </w:r>
      <w:r>
        <w:rPr>
          <w:spacing w:val="-6"/>
          <w:sz w:val="24"/>
        </w:rPr>
        <w:t> </w:t>
      </w:r>
      <w:r>
        <w:rPr>
          <w:sz w:val="24"/>
        </w:rPr>
        <w:t>and</w:t>
      </w:r>
      <w:r>
        <w:rPr>
          <w:spacing w:val="-6"/>
          <w:sz w:val="24"/>
        </w:rPr>
        <w:t> </w:t>
      </w:r>
      <w:r>
        <w:rPr>
          <w:sz w:val="24"/>
        </w:rPr>
        <w:t>desires</w:t>
      </w:r>
      <w:r>
        <w:rPr>
          <w:spacing w:val="-6"/>
          <w:sz w:val="24"/>
        </w:rPr>
        <w:t> </w:t>
      </w:r>
      <w:r>
        <w:rPr>
          <w:sz w:val="24"/>
        </w:rPr>
        <w:t>and</w:t>
      </w:r>
      <w:r>
        <w:rPr>
          <w:spacing w:val="-6"/>
          <w:sz w:val="24"/>
        </w:rPr>
        <w:t> </w:t>
      </w:r>
      <w:r>
        <w:rPr>
          <w:sz w:val="24"/>
        </w:rPr>
        <w:t>build support for</w:t>
      </w:r>
      <w:r>
        <w:rPr>
          <w:spacing w:val="-1"/>
          <w:sz w:val="24"/>
        </w:rPr>
        <w:t> </w:t>
      </w:r>
      <w:r>
        <w:rPr>
          <w:sz w:val="24"/>
        </w:rPr>
        <w:t>revitalization.</w:t>
      </w:r>
    </w:p>
    <w:p>
      <w:pPr>
        <w:pStyle w:val="ListParagraph"/>
        <w:numPr>
          <w:ilvl w:val="2"/>
          <w:numId w:val="10"/>
        </w:numPr>
        <w:tabs>
          <w:tab w:pos="1176" w:val="left" w:leader="none"/>
        </w:tabs>
        <w:spacing w:line="240" w:lineRule="auto" w:before="120" w:after="0"/>
        <w:ind w:left="1175" w:right="119" w:hanging="360"/>
        <w:jc w:val="both"/>
        <w:rPr>
          <w:sz w:val="22"/>
        </w:rPr>
      </w:pPr>
      <w:r>
        <w:rPr>
          <w:sz w:val="24"/>
        </w:rPr>
        <w:t>Identify</w:t>
      </w:r>
      <w:r>
        <w:rPr>
          <w:spacing w:val="-14"/>
          <w:sz w:val="24"/>
        </w:rPr>
        <w:t> </w:t>
      </w:r>
      <w:r>
        <w:rPr>
          <w:sz w:val="24"/>
        </w:rPr>
        <w:t>strategies</w:t>
      </w:r>
      <w:r>
        <w:rPr>
          <w:spacing w:val="-7"/>
          <w:sz w:val="24"/>
        </w:rPr>
        <w:t> </w:t>
      </w:r>
      <w:r>
        <w:rPr>
          <w:sz w:val="24"/>
        </w:rPr>
        <w:t>to</w:t>
      </w:r>
      <w:r>
        <w:rPr>
          <w:spacing w:val="-7"/>
          <w:sz w:val="24"/>
        </w:rPr>
        <w:t> </w:t>
      </w:r>
      <w:r>
        <w:rPr>
          <w:sz w:val="24"/>
        </w:rPr>
        <w:t>preserve</w:t>
      </w:r>
      <w:r>
        <w:rPr>
          <w:spacing w:val="-9"/>
          <w:sz w:val="24"/>
        </w:rPr>
        <w:t> </w:t>
      </w:r>
      <w:r>
        <w:rPr>
          <w:sz w:val="24"/>
        </w:rPr>
        <w:t>and</w:t>
      </w:r>
      <w:r>
        <w:rPr>
          <w:spacing w:val="-7"/>
          <w:sz w:val="24"/>
        </w:rPr>
        <w:t> </w:t>
      </w:r>
      <w:r>
        <w:rPr>
          <w:sz w:val="24"/>
        </w:rPr>
        <w:t>enhance</w:t>
      </w:r>
      <w:r>
        <w:rPr>
          <w:spacing w:val="-8"/>
          <w:sz w:val="24"/>
        </w:rPr>
        <w:t> </w:t>
      </w:r>
      <w:r>
        <w:rPr>
          <w:sz w:val="24"/>
        </w:rPr>
        <w:t>a</w:t>
      </w:r>
      <w:r>
        <w:rPr>
          <w:spacing w:val="-8"/>
          <w:sz w:val="24"/>
        </w:rPr>
        <w:t> </w:t>
      </w:r>
      <w:r>
        <w:rPr>
          <w:sz w:val="24"/>
        </w:rPr>
        <w:t>community’s</w:t>
      </w:r>
      <w:r>
        <w:rPr>
          <w:spacing w:val="-4"/>
          <w:sz w:val="24"/>
        </w:rPr>
        <w:t> </w:t>
      </w:r>
      <w:r>
        <w:rPr>
          <w:sz w:val="24"/>
        </w:rPr>
        <w:t>sense</w:t>
      </w:r>
      <w:r>
        <w:rPr>
          <w:spacing w:val="-8"/>
          <w:sz w:val="24"/>
        </w:rPr>
        <w:t> </w:t>
      </w:r>
      <w:r>
        <w:rPr>
          <w:sz w:val="24"/>
        </w:rPr>
        <w:t>of</w:t>
      </w:r>
      <w:r>
        <w:rPr>
          <w:spacing w:val="-8"/>
          <w:sz w:val="24"/>
        </w:rPr>
        <w:t> </w:t>
      </w:r>
      <w:r>
        <w:rPr>
          <w:sz w:val="24"/>
        </w:rPr>
        <w:t>place,</w:t>
      </w:r>
      <w:r>
        <w:rPr>
          <w:spacing w:val="-7"/>
          <w:sz w:val="24"/>
        </w:rPr>
        <w:t> </w:t>
      </w:r>
      <w:r>
        <w:rPr>
          <w:sz w:val="24"/>
        </w:rPr>
        <w:t>social</w:t>
      </w:r>
      <w:r>
        <w:rPr>
          <w:spacing w:val="-7"/>
          <w:sz w:val="24"/>
        </w:rPr>
        <w:t> </w:t>
      </w:r>
      <w:r>
        <w:rPr>
          <w:sz w:val="24"/>
        </w:rPr>
        <w:t>fabric, and historic assets and</w:t>
      </w:r>
      <w:r>
        <w:rPr>
          <w:spacing w:val="-2"/>
          <w:sz w:val="24"/>
        </w:rPr>
        <w:t> </w:t>
      </w:r>
      <w:r>
        <w:rPr>
          <w:sz w:val="24"/>
        </w:rPr>
        <w:t>functions.</w:t>
      </w:r>
    </w:p>
    <w:p>
      <w:pPr>
        <w:pStyle w:val="ListParagraph"/>
        <w:numPr>
          <w:ilvl w:val="2"/>
          <w:numId w:val="10"/>
        </w:numPr>
        <w:tabs>
          <w:tab w:pos="1176" w:val="left" w:leader="none"/>
        </w:tabs>
        <w:spacing w:line="240" w:lineRule="auto" w:before="120" w:after="0"/>
        <w:ind w:left="1175" w:right="120" w:hanging="360"/>
        <w:jc w:val="both"/>
        <w:rPr>
          <w:sz w:val="22"/>
        </w:rPr>
      </w:pPr>
      <w:r>
        <w:rPr>
          <w:sz w:val="24"/>
        </w:rPr>
        <w:t>Identify, and include in the Capital Budget, capital facilities improvements necessary to support revitalization in targeted</w:t>
      </w:r>
      <w:r>
        <w:rPr>
          <w:spacing w:val="-1"/>
          <w:sz w:val="24"/>
        </w:rPr>
        <w:t> </w:t>
      </w:r>
      <w:r>
        <w:rPr>
          <w:sz w:val="24"/>
        </w:rPr>
        <w:t>areas.</w:t>
      </w:r>
    </w:p>
    <w:p>
      <w:pPr>
        <w:pStyle w:val="ListParagraph"/>
        <w:numPr>
          <w:ilvl w:val="2"/>
          <w:numId w:val="10"/>
        </w:numPr>
        <w:tabs>
          <w:tab w:pos="1176" w:val="left" w:leader="none"/>
        </w:tabs>
        <w:spacing w:line="240" w:lineRule="auto" w:before="120" w:after="0"/>
        <w:ind w:left="1175" w:right="0" w:hanging="360"/>
        <w:jc w:val="left"/>
        <w:rPr>
          <w:sz w:val="22"/>
        </w:rPr>
      </w:pPr>
      <w:r>
        <w:rPr>
          <w:sz w:val="24"/>
        </w:rPr>
        <w:t>Identify and utilize funding sources for community revitalization</w:t>
      </w:r>
      <w:r>
        <w:rPr>
          <w:spacing w:val="-10"/>
          <w:sz w:val="24"/>
        </w:rPr>
        <w:t> </w:t>
      </w:r>
      <w:r>
        <w:rPr>
          <w:sz w:val="24"/>
        </w:rPr>
        <w:t>strategies.</w:t>
      </w:r>
    </w:p>
    <w:p>
      <w:pPr>
        <w:pStyle w:val="ListParagraph"/>
        <w:numPr>
          <w:ilvl w:val="2"/>
          <w:numId w:val="10"/>
        </w:numPr>
        <w:tabs>
          <w:tab w:pos="1176" w:val="left" w:leader="none"/>
        </w:tabs>
        <w:spacing w:line="240" w:lineRule="auto" w:before="121" w:after="0"/>
        <w:ind w:left="1175" w:right="0" w:hanging="360"/>
        <w:jc w:val="left"/>
        <w:rPr>
          <w:sz w:val="22"/>
        </w:rPr>
      </w:pPr>
      <w:r>
        <w:rPr>
          <w:sz w:val="24"/>
        </w:rPr>
        <w:t>Educate the community about funding sources for home improvement and</w:t>
      </w:r>
      <w:r>
        <w:rPr>
          <w:spacing w:val="-10"/>
          <w:sz w:val="24"/>
        </w:rPr>
        <w:t> </w:t>
      </w:r>
      <w:r>
        <w:rPr>
          <w:sz w:val="24"/>
        </w:rPr>
        <w:t>repair.</w:t>
      </w:r>
    </w:p>
    <w:p>
      <w:pPr>
        <w:pStyle w:val="ListParagraph"/>
        <w:numPr>
          <w:ilvl w:val="2"/>
          <w:numId w:val="10"/>
        </w:numPr>
        <w:tabs>
          <w:tab w:pos="1176" w:val="left" w:leader="none"/>
        </w:tabs>
        <w:spacing w:line="240" w:lineRule="auto" w:before="120" w:after="0"/>
        <w:ind w:left="1175" w:right="113" w:hanging="360"/>
        <w:jc w:val="both"/>
        <w:rPr>
          <w:sz w:val="22"/>
        </w:rPr>
      </w:pPr>
      <w:r>
        <w:rPr>
          <w:sz w:val="24"/>
        </w:rPr>
        <w:t>Provide incentives and resources for the provision of community amenities, such as pedestrian/bicycle facilities, sidewalks, traffic calming, street lighting, bus stops, cultural centers, and community gathering</w:t>
      </w:r>
      <w:r>
        <w:rPr>
          <w:spacing w:val="-10"/>
          <w:sz w:val="24"/>
        </w:rPr>
        <w:t> </w:t>
      </w:r>
      <w:r>
        <w:rPr>
          <w:sz w:val="24"/>
        </w:rPr>
        <w:t>places.</w:t>
      </w:r>
    </w:p>
    <w:p>
      <w:pPr>
        <w:pStyle w:val="ListParagraph"/>
        <w:numPr>
          <w:ilvl w:val="2"/>
          <w:numId w:val="10"/>
        </w:numPr>
        <w:tabs>
          <w:tab w:pos="1176" w:val="left" w:leader="none"/>
        </w:tabs>
        <w:spacing w:line="240" w:lineRule="auto" w:before="120" w:after="0"/>
        <w:ind w:left="1175" w:right="121" w:hanging="360"/>
        <w:jc w:val="both"/>
        <w:rPr>
          <w:sz w:val="22"/>
        </w:rPr>
      </w:pPr>
      <w:r>
        <w:rPr>
          <w:sz w:val="24"/>
        </w:rPr>
        <w:t>Develop incentives that encourage the private sector to improve retail and</w:t>
      </w:r>
      <w:r>
        <w:rPr>
          <w:spacing w:val="-13"/>
          <w:sz w:val="24"/>
        </w:rPr>
        <w:t> </w:t>
      </w:r>
      <w:r>
        <w:rPr>
          <w:sz w:val="24"/>
        </w:rPr>
        <w:t>commercial establishments in targeted</w:t>
      </w:r>
      <w:r>
        <w:rPr>
          <w:spacing w:val="-1"/>
          <w:sz w:val="24"/>
        </w:rPr>
        <w:t> </w:t>
      </w:r>
      <w:r>
        <w:rPr>
          <w:sz w:val="24"/>
        </w:rPr>
        <w:t>areas.</w:t>
      </w:r>
    </w:p>
    <w:p>
      <w:pPr>
        <w:pStyle w:val="ListParagraph"/>
        <w:numPr>
          <w:ilvl w:val="2"/>
          <w:numId w:val="10"/>
        </w:numPr>
        <w:tabs>
          <w:tab w:pos="1176" w:val="left" w:leader="none"/>
        </w:tabs>
        <w:spacing w:line="240" w:lineRule="auto" w:before="120" w:after="0"/>
        <w:ind w:left="1175" w:right="116" w:hanging="360"/>
        <w:jc w:val="both"/>
        <w:rPr>
          <w:sz w:val="22"/>
        </w:rPr>
      </w:pPr>
      <w:r>
        <w:rPr>
          <w:sz w:val="24"/>
        </w:rPr>
        <w:t>Provide resources for community-based initiatives, such as neighborhood volunteer watch groups and teen programming.</w:t>
      </w:r>
    </w:p>
    <w:p>
      <w:pPr>
        <w:spacing w:before="169"/>
        <w:ind w:left="100" w:right="0" w:firstLine="0"/>
        <w:jc w:val="left"/>
        <w:rPr>
          <w:rFonts w:ascii="Verdana"/>
          <w:sz w:val="22"/>
        </w:rPr>
      </w:pPr>
      <w:r>
        <w:rPr>
          <w:rFonts w:ascii="Verdana"/>
          <w:sz w:val="22"/>
          <w:u w:val="single"/>
        </w:rPr>
        <w:t>Strategy</w:t>
      </w:r>
    </w:p>
    <w:p>
      <w:pPr>
        <w:pStyle w:val="ListParagraph"/>
        <w:numPr>
          <w:ilvl w:val="1"/>
          <w:numId w:val="10"/>
        </w:numPr>
        <w:tabs>
          <w:tab w:pos="1092" w:val="left" w:leader="none"/>
        </w:tabs>
        <w:spacing w:line="259" w:lineRule="auto" w:before="15" w:after="0"/>
        <w:ind w:left="1091" w:right="118" w:hanging="631"/>
        <w:jc w:val="both"/>
        <w:rPr>
          <w:sz w:val="24"/>
        </w:rPr>
      </w:pPr>
      <w:r>
        <w:rPr>
          <w:sz w:val="24"/>
        </w:rPr>
        <w:t>Facilitate redevelopment, infill development, and adaptive reuse projects through technical assistance, an improved regulatory framework, and streamlined review processes.</w:t>
      </w:r>
    </w:p>
    <w:p>
      <w:pPr>
        <w:spacing w:before="88"/>
        <w:ind w:left="460" w:right="0" w:firstLine="0"/>
        <w:jc w:val="left"/>
        <w:rPr>
          <w:rFonts w:ascii="Verdana"/>
          <w:sz w:val="22"/>
        </w:rPr>
      </w:pPr>
      <w:r>
        <w:rPr>
          <w:rFonts w:ascii="Verdana"/>
          <w:sz w:val="22"/>
          <w:u w:val="single"/>
        </w:rPr>
        <w:t>Actions</w:t>
      </w:r>
    </w:p>
    <w:p>
      <w:pPr>
        <w:pStyle w:val="ListParagraph"/>
        <w:numPr>
          <w:ilvl w:val="2"/>
          <w:numId w:val="10"/>
        </w:numPr>
        <w:tabs>
          <w:tab w:pos="1181" w:val="left" w:leader="none"/>
        </w:tabs>
        <w:spacing w:line="240" w:lineRule="auto" w:before="13" w:after="0"/>
        <w:ind w:left="1180" w:right="122" w:hanging="360"/>
        <w:jc w:val="both"/>
        <w:rPr>
          <w:sz w:val="22"/>
        </w:rPr>
      </w:pPr>
      <w:r>
        <w:rPr>
          <w:sz w:val="24"/>
        </w:rPr>
        <w:t>Provide general project guidance, such as best practices, tool kits, examples of “approvable” development types, and profiles of successful</w:t>
      </w:r>
      <w:r>
        <w:rPr>
          <w:spacing w:val="-7"/>
          <w:sz w:val="24"/>
        </w:rPr>
        <w:t> </w:t>
      </w:r>
      <w:r>
        <w:rPr>
          <w:sz w:val="24"/>
        </w:rPr>
        <w:t>projects.</w:t>
      </w:r>
    </w:p>
    <w:p>
      <w:pPr>
        <w:pStyle w:val="ListParagraph"/>
        <w:numPr>
          <w:ilvl w:val="2"/>
          <w:numId w:val="10"/>
        </w:numPr>
        <w:tabs>
          <w:tab w:pos="1181" w:val="left" w:leader="none"/>
        </w:tabs>
        <w:spacing w:line="240" w:lineRule="auto" w:before="120" w:after="0"/>
        <w:ind w:left="1180" w:right="120" w:hanging="360"/>
        <w:jc w:val="both"/>
        <w:rPr>
          <w:sz w:val="22"/>
        </w:rPr>
      </w:pPr>
      <w:r>
        <w:rPr>
          <w:sz w:val="24"/>
        </w:rPr>
        <w:t>Provide development process support, planning and zoning support services, and technical assistance for specific projects located within the priority areas for redevelopment identified on the Priority Commercial Redevelopment Areas</w:t>
      </w:r>
      <w:r>
        <w:rPr>
          <w:spacing w:val="-5"/>
          <w:sz w:val="24"/>
        </w:rPr>
        <w:t> </w:t>
      </w:r>
      <w:r>
        <w:rPr>
          <w:sz w:val="24"/>
        </w:rPr>
        <w:t>Map.</w:t>
      </w:r>
    </w:p>
    <w:p>
      <w:pPr>
        <w:spacing w:after="0" w:line="240" w:lineRule="auto"/>
        <w:jc w:val="both"/>
        <w:rPr>
          <w:sz w:val="22"/>
        </w:rPr>
        <w:sectPr>
          <w:pgSz w:w="12240" w:h="15840"/>
          <w:pgMar w:header="719" w:footer="540" w:top="1300" w:bottom="740" w:left="1340" w:right="1320"/>
        </w:sectPr>
      </w:pPr>
    </w:p>
    <w:p>
      <w:pPr>
        <w:pStyle w:val="ListParagraph"/>
        <w:numPr>
          <w:ilvl w:val="2"/>
          <w:numId w:val="10"/>
        </w:numPr>
        <w:tabs>
          <w:tab w:pos="1181" w:val="left" w:leader="none"/>
        </w:tabs>
        <w:spacing w:line="240" w:lineRule="auto" w:before="115" w:after="0"/>
        <w:ind w:left="1180" w:right="122" w:hanging="360"/>
        <w:jc w:val="both"/>
        <w:rPr>
          <w:sz w:val="22"/>
        </w:rPr>
      </w:pPr>
      <w:r>
        <w:rPr>
          <w:sz w:val="24"/>
        </w:rPr>
        <w:t>Develop and maintain a redevelopment webpage with information and resources for residents and</w:t>
      </w:r>
      <w:r>
        <w:rPr>
          <w:spacing w:val="-1"/>
          <w:sz w:val="24"/>
        </w:rPr>
        <w:t> </w:t>
      </w:r>
      <w:r>
        <w:rPr>
          <w:sz w:val="24"/>
        </w:rPr>
        <w:t>developers.</w:t>
      </w:r>
    </w:p>
    <w:p>
      <w:pPr>
        <w:pStyle w:val="ListParagraph"/>
        <w:numPr>
          <w:ilvl w:val="2"/>
          <w:numId w:val="10"/>
        </w:numPr>
        <w:tabs>
          <w:tab w:pos="1181" w:val="left" w:leader="none"/>
        </w:tabs>
        <w:spacing w:line="240" w:lineRule="auto" w:before="120" w:after="0"/>
        <w:ind w:left="1180" w:right="113" w:hanging="360"/>
        <w:jc w:val="both"/>
        <w:rPr>
          <w:sz w:val="22"/>
        </w:rPr>
      </w:pPr>
      <w:r>
        <w:rPr>
          <w:sz w:val="24"/>
        </w:rPr>
        <w:t>Develop zoning regulations and design standards that acknowledge the need for flexibility, existing conditions and constraints, and previous development standards; allow for innovative design and emerging development types; and provide certainty and clear direction for</w:t>
      </w:r>
      <w:r>
        <w:rPr>
          <w:spacing w:val="-1"/>
          <w:sz w:val="24"/>
        </w:rPr>
        <w:t> </w:t>
      </w:r>
      <w:r>
        <w:rPr>
          <w:sz w:val="24"/>
        </w:rPr>
        <w:t>developers.</w:t>
      </w:r>
    </w:p>
    <w:p>
      <w:pPr>
        <w:pStyle w:val="ListParagraph"/>
        <w:numPr>
          <w:ilvl w:val="2"/>
          <w:numId w:val="10"/>
        </w:numPr>
        <w:tabs>
          <w:tab w:pos="1181" w:val="left" w:leader="none"/>
        </w:tabs>
        <w:spacing w:line="240" w:lineRule="auto" w:before="120" w:after="0"/>
        <w:ind w:left="1180" w:right="117" w:hanging="360"/>
        <w:jc w:val="both"/>
        <w:rPr>
          <w:sz w:val="22"/>
        </w:rPr>
      </w:pPr>
      <w:r>
        <w:rPr/>
        <w:pict>
          <v:shape style="position:absolute;margin-left:90.066002pt;margin-top:26.093102pt;width:395.3pt;height:419pt;mso-position-horizontal-relative:page;mso-position-vertical-relative:paragraph;z-index:-10240" coordorigin="1801,522" coordsize="7906,8380" path="m4498,7786l4492,7712,4477,7634,4455,7551,4432,7482,4402,7410,4367,7335,4325,7257,4276,7176,4236,7117,4200,7067,4200,7752,4197,7809,4185,7865,4167,7923,4138,7983,4097,8045,4044,8111,3979,8181,3674,8486,2216,7028,2517,6728,2598,6652,2672,6592,2740,6548,2801,6522,2868,6507,2941,6503,3020,6510,3105,6528,3195,6557,3255,6583,3317,6615,3380,6653,3446,6698,3514,6750,3584,6808,3656,6873,3729,6944,3789,7006,3844,7066,3896,7125,3943,7183,3986,7239,4024,7295,4059,7348,4101,7423,4136,7495,4163,7565,4183,7632,4196,7696,4200,7752,4200,7067,4194,7058,4148,6998,4098,6937,4045,6876,3989,6815,3929,6753,3865,6691,3801,6632,3737,6577,3673,6526,3643,6503,3609,6478,3546,6433,3482,6392,3419,6354,3346,6317,3274,6284,3203,6257,3132,6235,3062,6218,2992,6206,2923,6199,2850,6197,2779,6204,2709,6219,2642,6242,2577,6272,2528,6300,2476,6337,2420,6383,2359,6437,2294,6500,1801,6993,3710,8901,4124,8486,4226,8384,4287,8319,4341,8254,4386,8188,4424,8121,4454,8055,4476,7989,4491,7922,4498,7854,4498,7786m6418,6192l6056,6065,5650,5922,5561,5893,5475,5869,5393,5850,5364,5844,5314,5835,5239,5825,5193,5824,5143,5827,5089,5834,5030,5844,5074,5775,5109,5705,5136,5636,5154,5567,5164,5499,5165,5431,5157,5363,5139,5285,5111,5209,5075,5134,5030,5061,4976,4991,4956,4968,4913,4922,4872,4884,4872,5441,4868,5497,4854,5552,4830,5608,4794,5667,4747,5728,4687,5791,4413,6065,4280,6198,3649,5567,4102,5114,4166,5057,4229,5014,4293,4984,4358,4969,4422,4968,4501,4983,4577,5013,4649,5058,4718,5117,4761,5165,4797,5216,4827,5269,4851,5326,4867,5384,4872,5441,4872,4884,4849,4862,4782,4810,4713,4765,4641,4726,4566,4694,4474,4666,4386,4653,4303,4655,4225,4671,4163,4696,4098,4732,4030,4780,3958,4840,3883,4911,3248,5546,5157,7454,5346,7264,4499,6417,4718,6198,4753,6164,4783,6136,4810,6115,4833,6101,4863,6087,4896,6077,4932,6069,4971,6065,5014,6065,5066,6070,5125,6080,5194,6097,5256,6114,5328,6135,5407,6160,5496,6189,6180,6430,6418,6192m7780,4830l7415,4635,6555,4181,6555,4488,6070,4973,5989,4830,5748,4399,5708,4328,5668,4256,5629,4191,5590,4126,5550,4062,5509,3999,5467,3937,5424,3875,5380,3815,5436,3850,5498,3888,5564,3928,5635,3970,5792,4061,6555,4488,6555,4181,5862,3815,5286,3508,5082,3712,5277,4062,5316,4133,5701,4830,6168,5679,6441,6170,6642,5969,6565,5835,6298,5367,6221,5233,6481,4973,6820,4635,7565,5046,7780,4830m8131,4480l7264,3613,7489,3387,7936,2941,7711,2716,7039,3387,6448,2797,7224,2020,6999,1795,6033,2761,7941,4669,8131,4480m9707,2904l8213,1410,8024,1221,8497,747,8272,522,7138,1656,7363,1882,7834,1410,9517,3093,9707,2904e" filled="true" fillcolor="#c0c0c0" stroked="false">
            <v:path arrowok="t"/>
            <v:fill opacity="32896f" type="solid"/>
            <w10:wrap type="none"/>
          </v:shape>
        </w:pict>
      </w:r>
      <w:r>
        <w:rPr>
          <w:sz w:val="24"/>
        </w:rPr>
        <w:t>Develop incentive programs for projects located within the priority areas for redevelopment identified on the Priority Commercial Redevelopment Areas Map and other</w:t>
      </w:r>
      <w:r>
        <w:rPr>
          <w:spacing w:val="-5"/>
          <w:sz w:val="24"/>
        </w:rPr>
        <w:t> </w:t>
      </w:r>
      <w:r>
        <w:rPr>
          <w:sz w:val="24"/>
        </w:rPr>
        <w:t>qualifying</w:t>
      </w:r>
      <w:r>
        <w:rPr>
          <w:spacing w:val="-6"/>
          <w:sz w:val="24"/>
        </w:rPr>
        <w:t> </w:t>
      </w:r>
      <w:r>
        <w:rPr>
          <w:sz w:val="24"/>
        </w:rPr>
        <w:t>projects,</w:t>
      </w:r>
      <w:r>
        <w:rPr>
          <w:spacing w:val="-4"/>
          <w:sz w:val="24"/>
        </w:rPr>
        <w:t> </w:t>
      </w:r>
      <w:r>
        <w:rPr>
          <w:sz w:val="24"/>
        </w:rPr>
        <w:t>such</w:t>
      </w:r>
      <w:r>
        <w:rPr>
          <w:spacing w:val="-4"/>
          <w:sz w:val="24"/>
        </w:rPr>
        <w:t> </w:t>
      </w:r>
      <w:r>
        <w:rPr>
          <w:sz w:val="24"/>
        </w:rPr>
        <w:t>as</w:t>
      </w:r>
      <w:r>
        <w:rPr>
          <w:spacing w:val="-4"/>
          <w:sz w:val="24"/>
        </w:rPr>
        <w:t> </w:t>
      </w:r>
      <w:r>
        <w:rPr>
          <w:sz w:val="24"/>
        </w:rPr>
        <w:t>increases</w:t>
      </w:r>
      <w:r>
        <w:rPr>
          <w:spacing w:val="-4"/>
          <w:sz w:val="24"/>
        </w:rPr>
        <w:t> </w:t>
      </w:r>
      <w:r>
        <w:rPr>
          <w:sz w:val="24"/>
        </w:rPr>
        <w:t>in</w:t>
      </w:r>
      <w:r>
        <w:rPr>
          <w:spacing w:val="-3"/>
          <w:sz w:val="24"/>
        </w:rPr>
        <w:t> </w:t>
      </w:r>
      <w:r>
        <w:rPr>
          <w:sz w:val="24"/>
        </w:rPr>
        <w:t>permitted</w:t>
      </w:r>
      <w:r>
        <w:rPr>
          <w:spacing w:val="-4"/>
          <w:sz w:val="24"/>
        </w:rPr>
        <w:t> </w:t>
      </w:r>
      <w:r>
        <w:rPr>
          <w:sz w:val="24"/>
        </w:rPr>
        <w:t>density</w:t>
      </w:r>
      <w:r>
        <w:rPr>
          <w:spacing w:val="-11"/>
          <w:sz w:val="24"/>
        </w:rPr>
        <w:t> </w:t>
      </w:r>
      <w:r>
        <w:rPr>
          <w:sz w:val="24"/>
        </w:rPr>
        <w:t>where</w:t>
      </w:r>
      <w:r>
        <w:rPr>
          <w:spacing w:val="-6"/>
          <w:sz w:val="24"/>
        </w:rPr>
        <w:t> </w:t>
      </w:r>
      <w:r>
        <w:rPr>
          <w:sz w:val="24"/>
        </w:rPr>
        <w:t>infrastructure</w:t>
      </w:r>
      <w:r>
        <w:rPr>
          <w:spacing w:val="-5"/>
          <w:sz w:val="24"/>
        </w:rPr>
        <w:t> </w:t>
      </w:r>
      <w:r>
        <w:rPr>
          <w:sz w:val="24"/>
        </w:rPr>
        <w:t>is available, reduced fees, or expedited review processes.</w:t>
      </w:r>
    </w:p>
    <w:p>
      <w:pPr>
        <w:spacing w:before="171"/>
        <w:ind w:left="100" w:right="0" w:firstLine="0"/>
        <w:jc w:val="left"/>
        <w:rPr>
          <w:rFonts w:ascii="Verdana"/>
          <w:sz w:val="22"/>
        </w:rPr>
      </w:pPr>
      <w:r>
        <w:rPr>
          <w:rFonts w:ascii="Verdana"/>
          <w:sz w:val="22"/>
          <w:u w:val="single"/>
        </w:rPr>
        <w:t>Strategy</w:t>
      </w:r>
    </w:p>
    <w:p>
      <w:pPr>
        <w:pStyle w:val="ListParagraph"/>
        <w:numPr>
          <w:ilvl w:val="1"/>
          <w:numId w:val="10"/>
        </w:numPr>
        <w:tabs>
          <w:tab w:pos="1092" w:val="left" w:leader="none"/>
        </w:tabs>
        <w:spacing w:line="259" w:lineRule="auto" w:before="16" w:after="0"/>
        <w:ind w:left="1091" w:right="117" w:hanging="631"/>
        <w:jc w:val="both"/>
        <w:rPr>
          <w:sz w:val="24"/>
        </w:rPr>
      </w:pPr>
      <w:r>
        <w:rPr>
          <w:sz w:val="24"/>
        </w:rPr>
        <w:t>Incentivize redevelopment, infill, and adaptive reuse projects, and revitalization efforts in priority areas to be established by the County, using the Priority Commercial Redevelopment Areas Map to determine initial priority</w:t>
      </w:r>
      <w:r>
        <w:rPr>
          <w:spacing w:val="-7"/>
          <w:sz w:val="24"/>
        </w:rPr>
        <w:t> </w:t>
      </w:r>
      <w:r>
        <w:rPr>
          <w:sz w:val="24"/>
        </w:rPr>
        <w:t>areas.</w:t>
      </w:r>
    </w:p>
    <w:p>
      <w:pPr>
        <w:spacing w:before="86"/>
        <w:ind w:left="460" w:right="0" w:firstLine="0"/>
        <w:jc w:val="left"/>
        <w:rPr>
          <w:rFonts w:ascii="Verdana"/>
          <w:sz w:val="22"/>
        </w:rPr>
      </w:pPr>
      <w:r>
        <w:rPr>
          <w:rFonts w:ascii="Verdana"/>
          <w:sz w:val="22"/>
          <w:u w:val="single"/>
        </w:rPr>
        <w:t>Actions</w:t>
      </w:r>
    </w:p>
    <w:p>
      <w:pPr>
        <w:pStyle w:val="ListParagraph"/>
        <w:numPr>
          <w:ilvl w:val="2"/>
          <w:numId w:val="10"/>
        </w:numPr>
        <w:tabs>
          <w:tab w:pos="1181" w:val="left" w:leader="none"/>
        </w:tabs>
        <w:spacing w:line="240" w:lineRule="auto" w:before="135" w:after="0"/>
        <w:ind w:left="1180" w:right="119" w:hanging="360"/>
        <w:jc w:val="both"/>
        <w:rPr>
          <w:sz w:val="22"/>
        </w:rPr>
      </w:pPr>
      <w:r>
        <w:rPr>
          <w:sz w:val="24"/>
        </w:rPr>
        <w:t>Evaluate and implement the use of fiscal tools to incentivize redevelopment, such as tax increment financing (TIF), public improvement districts (PID), or utility upgrade financing.</w:t>
      </w:r>
    </w:p>
    <w:p>
      <w:pPr>
        <w:pStyle w:val="ListParagraph"/>
        <w:numPr>
          <w:ilvl w:val="2"/>
          <w:numId w:val="10"/>
        </w:numPr>
        <w:tabs>
          <w:tab w:pos="1181" w:val="left" w:leader="none"/>
        </w:tabs>
        <w:spacing w:line="240" w:lineRule="auto" w:before="120" w:after="0"/>
        <w:ind w:left="1180" w:right="119" w:hanging="360"/>
        <w:jc w:val="both"/>
        <w:rPr>
          <w:sz w:val="22"/>
        </w:rPr>
      </w:pPr>
      <w:r>
        <w:rPr>
          <w:sz w:val="24"/>
        </w:rPr>
        <w:t>Evaluate entering into public-private-partnerships to initiate redevelopment and adaptive reuse efforts and reduce development risks in priority</w:t>
      </w:r>
      <w:r>
        <w:rPr>
          <w:spacing w:val="-10"/>
          <w:sz w:val="24"/>
        </w:rPr>
        <w:t> </w:t>
      </w:r>
      <w:r>
        <w:rPr>
          <w:sz w:val="24"/>
        </w:rPr>
        <w:t>areas.</w:t>
      </w:r>
    </w:p>
    <w:p>
      <w:pPr>
        <w:pStyle w:val="ListParagraph"/>
        <w:numPr>
          <w:ilvl w:val="2"/>
          <w:numId w:val="10"/>
        </w:numPr>
        <w:tabs>
          <w:tab w:pos="1181" w:val="left" w:leader="none"/>
        </w:tabs>
        <w:spacing w:line="240" w:lineRule="auto" w:before="120" w:after="0"/>
        <w:ind w:left="1180" w:right="0" w:hanging="360"/>
        <w:jc w:val="left"/>
        <w:rPr>
          <w:sz w:val="22"/>
        </w:rPr>
      </w:pPr>
      <w:r>
        <w:rPr>
          <w:sz w:val="24"/>
        </w:rPr>
        <w:t>Direct public investment and resources to priority areas to facilitate</w:t>
      </w:r>
      <w:r>
        <w:rPr>
          <w:spacing w:val="-6"/>
          <w:sz w:val="24"/>
        </w:rPr>
        <w:t> </w:t>
      </w:r>
      <w:r>
        <w:rPr>
          <w:sz w:val="24"/>
        </w:rPr>
        <w:t>redevelopment.</w:t>
      </w:r>
    </w:p>
    <w:p>
      <w:pPr>
        <w:pStyle w:val="ListParagraph"/>
        <w:numPr>
          <w:ilvl w:val="2"/>
          <w:numId w:val="10"/>
        </w:numPr>
        <w:tabs>
          <w:tab w:pos="1181" w:val="left" w:leader="none"/>
        </w:tabs>
        <w:spacing w:line="240" w:lineRule="auto" w:before="120" w:after="0"/>
        <w:ind w:left="1180" w:right="124" w:hanging="360"/>
        <w:jc w:val="both"/>
        <w:rPr>
          <w:sz w:val="22"/>
        </w:rPr>
      </w:pPr>
      <w:r>
        <w:rPr>
          <w:sz w:val="24"/>
        </w:rPr>
        <w:t>Establish programs to assist in business retention, expansion, and recruitment when commercial redevelopment projects</w:t>
      </w:r>
      <w:r>
        <w:rPr>
          <w:spacing w:val="-1"/>
          <w:sz w:val="24"/>
        </w:rPr>
        <w:t> </w:t>
      </w:r>
      <w:r>
        <w:rPr>
          <w:sz w:val="24"/>
        </w:rPr>
        <w:t>occur.</w:t>
      </w:r>
    </w:p>
    <w:p>
      <w:pPr>
        <w:spacing w:before="169"/>
        <w:ind w:left="100" w:right="0" w:firstLine="0"/>
        <w:jc w:val="left"/>
        <w:rPr>
          <w:rFonts w:ascii="Verdana"/>
          <w:sz w:val="22"/>
        </w:rPr>
      </w:pPr>
      <w:r>
        <w:rPr>
          <w:rFonts w:ascii="Verdana"/>
          <w:sz w:val="22"/>
          <w:u w:val="single"/>
        </w:rPr>
        <w:t>Strategy</w:t>
      </w:r>
    </w:p>
    <w:p>
      <w:pPr>
        <w:pStyle w:val="ListParagraph"/>
        <w:numPr>
          <w:ilvl w:val="1"/>
          <w:numId w:val="10"/>
        </w:numPr>
        <w:tabs>
          <w:tab w:pos="1092" w:val="left" w:leader="none"/>
        </w:tabs>
        <w:spacing w:line="259" w:lineRule="auto" w:before="18" w:after="0"/>
        <w:ind w:left="1091" w:right="119" w:hanging="631"/>
        <w:jc w:val="both"/>
        <w:rPr>
          <w:sz w:val="24"/>
        </w:rPr>
      </w:pPr>
      <w:r>
        <w:rPr>
          <w:sz w:val="24"/>
        </w:rPr>
        <w:t>Achieve unified site design, efficient use of existing infrastructure, and maximum land development potential through the consolidation of small, adjacent, underutilized properties.</w:t>
      </w:r>
    </w:p>
    <w:p>
      <w:pPr>
        <w:spacing w:before="85"/>
        <w:ind w:left="460" w:right="0" w:firstLine="0"/>
        <w:jc w:val="left"/>
        <w:rPr>
          <w:rFonts w:ascii="Verdana"/>
          <w:sz w:val="22"/>
        </w:rPr>
      </w:pPr>
      <w:r>
        <w:rPr>
          <w:rFonts w:ascii="Verdana"/>
          <w:sz w:val="22"/>
          <w:u w:val="single"/>
        </w:rPr>
        <w:t>Actions</w:t>
      </w:r>
    </w:p>
    <w:p>
      <w:pPr>
        <w:pStyle w:val="ListParagraph"/>
        <w:numPr>
          <w:ilvl w:val="2"/>
          <w:numId w:val="10"/>
        </w:numPr>
        <w:tabs>
          <w:tab w:pos="1181" w:val="left" w:leader="none"/>
        </w:tabs>
        <w:spacing w:line="240" w:lineRule="auto" w:before="136" w:after="0"/>
        <w:ind w:left="1180" w:right="122" w:hanging="360"/>
        <w:jc w:val="both"/>
        <w:rPr>
          <w:sz w:val="22"/>
        </w:rPr>
      </w:pPr>
      <w:r>
        <w:rPr>
          <w:sz w:val="24"/>
        </w:rPr>
        <w:t>Facilitate redevelopment of multi-ownership sites through a planning process that engages owners and the larger community in the creation of a shared vision for the area.</w:t>
      </w:r>
    </w:p>
    <w:p>
      <w:pPr>
        <w:pStyle w:val="ListParagraph"/>
        <w:numPr>
          <w:ilvl w:val="2"/>
          <w:numId w:val="10"/>
        </w:numPr>
        <w:tabs>
          <w:tab w:pos="1181" w:val="left" w:leader="none"/>
        </w:tabs>
        <w:spacing w:line="240" w:lineRule="auto" w:before="120" w:after="0"/>
        <w:ind w:left="1180" w:right="121" w:hanging="360"/>
        <w:jc w:val="both"/>
        <w:rPr>
          <w:sz w:val="22"/>
        </w:rPr>
      </w:pPr>
      <w:r>
        <w:rPr>
          <w:sz w:val="24"/>
        </w:rPr>
        <w:t>Create incentives for parcel assembly and funding opportunities for infrastructure improvements associated with redevelopment projects to alleviate private sector risk and</w:t>
      </w:r>
      <w:r>
        <w:rPr>
          <w:spacing w:val="-1"/>
          <w:sz w:val="24"/>
        </w:rPr>
        <w:t> </w:t>
      </w:r>
      <w:r>
        <w:rPr>
          <w:sz w:val="24"/>
        </w:rPr>
        <w:t>costs.</w:t>
      </w:r>
    </w:p>
    <w:p>
      <w:pPr>
        <w:spacing w:after="0" w:line="240" w:lineRule="auto"/>
        <w:jc w:val="both"/>
        <w:rPr>
          <w:sz w:val="22"/>
        </w:rPr>
        <w:sectPr>
          <w:pgSz w:w="12240" w:h="15840"/>
          <w:pgMar w:header="719" w:footer="540" w:top="1300" w:bottom="740" w:left="1340" w:right="1320"/>
        </w:sectPr>
      </w:pPr>
    </w:p>
    <w:p>
      <w:pPr>
        <w:pStyle w:val="Heading5"/>
        <w:spacing w:line="259" w:lineRule="auto" w:before="88"/>
        <w:ind w:right="113"/>
      </w:pPr>
      <w:r>
        <w:rPr>
          <w:color w:val="396230"/>
          <w:w w:val="95"/>
        </w:rPr>
        <w:t>IR</w:t>
      </w:r>
      <w:r>
        <w:rPr>
          <w:color w:val="396230"/>
          <w:spacing w:val="-43"/>
          <w:w w:val="95"/>
        </w:rPr>
        <w:t> </w:t>
      </w:r>
      <w:r>
        <w:rPr>
          <w:color w:val="396230"/>
          <w:w w:val="95"/>
        </w:rPr>
        <w:t>Policy</w:t>
      </w:r>
      <w:r>
        <w:rPr>
          <w:color w:val="396230"/>
          <w:spacing w:val="-44"/>
          <w:w w:val="95"/>
        </w:rPr>
        <w:t> </w:t>
      </w:r>
      <w:r>
        <w:rPr>
          <w:color w:val="396230"/>
          <w:w w:val="95"/>
        </w:rPr>
        <w:t>2:</w:t>
      </w:r>
      <w:r>
        <w:rPr>
          <w:color w:val="396230"/>
          <w:spacing w:val="-44"/>
          <w:w w:val="95"/>
        </w:rPr>
        <w:t> </w:t>
      </w:r>
      <w:r>
        <w:rPr>
          <w:color w:val="396230"/>
          <w:w w:val="95"/>
        </w:rPr>
        <w:t>Recognize</w:t>
      </w:r>
      <w:r>
        <w:rPr>
          <w:color w:val="396230"/>
          <w:spacing w:val="-43"/>
          <w:w w:val="95"/>
        </w:rPr>
        <w:t> </w:t>
      </w:r>
      <w:r>
        <w:rPr>
          <w:color w:val="396230"/>
          <w:w w:val="95"/>
        </w:rPr>
        <w:t>adaptive</w:t>
      </w:r>
      <w:r>
        <w:rPr>
          <w:color w:val="396230"/>
          <w:spacing w:val="-43"/>
          <w:w w:val="95"/>
        </w:rPr>
        <w:t> </w:t>
      </w:r>
      <w:r>
        <w:rPr>
          <w:color w:val="396230"/>
          <w:w w:val="95"/>
        </w:rPr>
        <w:t>reuse</w:t>
      </w:r>
      <w:r>
        <w:rPr>
          <w:color w:val="396230"/>
          <w:spacing w:val="-44"/>
          <w:w w:val="95"/>
        </w:rPr>
        <w:t> </w:t>
      </w:r>
      <w:r>
        <w:rPr>
          <w:color w:val="396230"/>
          <w:w w:val="95"/>
        </w:rPr>
        <w:t>of</w:t>
      </w:r>
      <w:r>
        <w:rPr>
          <w:color w:val="396230"/>
          <w:spacing w:val="-44"/>
          <w:w w:val="95"/>
        </w:rPr>
        <w:t> </w:t>
      </w:r>
      <w:r>
        <w:rPr>
          <w:color w:val="396230"/>
          <w:w w:val="95"/>
        </w:rPr>
        <w:t>existing</w:t>
      </w:r>
      <w:r>
        <w:rPr>
          <w:color w:val="396230"/>
          <w:spacing w:val="-44"/>
          <w:w w:val="95"/>
        </w:rPr>
        <w:t> </w:t>
      </w:r>
      <w:r>
        <w:rPr>
          <w:color w:val="396230"/>
          <w:w w:val="95"/>
        </w:rPr>
        <w:t>unused</w:t>
      </w:r>
      <w:r>
        <w:rPr>
          <w:color w:val="396230"/>
          <w:spacing w:val="-44"/>
          <w:w w:val="95"/>
        </w:rPr>
        <w:t> </w:t>
      </w:r>
      <w:r>
        <w:rPr>
          <w:color w:val="396230"/>
          <w:w w:val="95"/>
        </w:rPr>
        <w:t>or</w:t>
      </w:r>
      <w:r>
        <w:rPr>
          <w:color w:val="396230"/>
          <w:spacing w:val="-44"/>
          <w:w w:val="95"/>
        </w:rPr>
        <w:t> </w:t>
      </w:r>
      <w:r>
        <w:rPr>
          <w:color w:val="396230"/>
          <w:w w:val="95"/>
        </w:rPr>
        <w:t>underutilized</w:t>
      </w:r>
      <w:r>
        <w:rPr>
          <w:color w:val="396230"/>
          <w:spacing w:val="-44"/>
          <w:w w:val="95"/>
        </w:rPr>
        <w:t> </w:t>
      </w:r>
      <w:r>
        <w:rPr>
          <w:color w:val="396230"/>
          <w:w w:val="95"/>
        </w:rPr>
        <w:t>buildings as</w:t>
      </w:r>
      <w:r>
        <w:rPr>
          <w:color w:val="396230"/>
          <w:spacing w:val="-9"/>
          <w:w w:val="95"/>
        </w:rPr>
        <w:t> </w:t>
      </w:r>
      <w:r>
        <w:rPr>
          <w:color w:val="396230"/>
          <w:w w:val="95"/>
        </w:rPr>
        <w:t>an</w:t>
      </w:r>
      <w:r>
        <w:rPr>
          <w:color w:val="396230"/>
          <w:spacing w:val="-10"/>
          <w:w w:val="95"/>
        </w:rPr>
        <w:t> </w:t>
      </w:r>
      <w:r>
        <w:rPr>
          <w:color w:val="396230"/>
          <w:w w:val="95"/>
        </w:rPr>
        <w:t>opportunity</w:t>
      </w:r>
      <w:r>
        <w:rPr>
          <w:color w:val="396230"/>
          <w:spacing w:val="-10"/>
          <w:w w:val="95"/>
        </w:rPr>
        <w:t> </w:t>
      </w:r>
      <w:r>
        <w:rPr>
          <w:color w:val="396230"/>
          <w:w w:val="95"/>
        </w:rPr>
        <w:t>to</w:t>
      </w:r>
      <w:r>
        <w:rPr>
          <w:color w:val="396230"/>
          <w:spacing w:val="-9"/>
          <w:w w:val="95"/>
        </w:rPr>
        <w:t> </w:t>
      </w:r>
      <w:r>
        <w:rPr>
          <w:color w:val="396230"/>
          <w:w w:val="95"/>
        </w:rPr>
        <w:t>establish</w:t>
      </w:r>
      <w:r>
        <w:rPr>
          <w:color w:val="396230"/>
          <w:spacing w:val="-10"/>
          <w:w w:val="95"/>
        </w:rPr>
        <w:t> </w:t>
      </w:r>
      <w:r>
        <w:rPr>
          <w:color w:val="396230"/>
          <w:w w:val="95"/>
        </w:rPr>
        <w:t>or</w:t>
      </w:r>
      <w:r>
        <w:rPr>
          <w:color w:val="396230"/>
          <w:spacing w:val="-9"/>
          <w:w w:val="95"/>
        </w:rPr>
        <w:t> </w:t>
      </w:r>
      <w:r>
        <w:rPr>
          <w:color w:val="396230"/>
          <w:w w:val="95"/>
        </w:rPr>
        <w:t>reinforce</w:t>
      </w:r>
      <w:r>
        <w:rPr>
          <w:color w:val="396230"/>
          <w:spacing w:val="-9"/>
          <w:w w:val="95"/>
        </w:rPr>
        <w:t> </w:t>
      </w:r>
      <w:r>
        <w:rPr>
          <w:color w:val="396230"/>
          <w:w w:val="95"/>
        </w:rPr>
        <w:t>a</w:t>
      </w:r>
      <w:r>
        <w:rPr>
          <w:color w:val="396230"/>
          <w:spacing w:val="-9"/>
          <w:w w:val="95"/>
        </w:rPr>
        <w:t> </w:t>
      </w:r>
      <w:r>
        <w:rPr>
          <w:color w:val="396230"/>
          <w:w w:val="95"/>
        </w:rPr>
        <w:t>community’s</w:t>
      </w:r>
      <w:r>
        <w:rPr>
          <w:color w:val="396230"/>
          <w:spacing w:val="-11"/>
          <w:w w:val="95"/>
        </w:rPr>
        <w:t> </w:t>
      </w:r>
      <w:r>
        <w:rPr>
          <w:color w:val="396230"/>
          <w:w w:val="95"/>
        </w:rPr>
        <w:t>identity</w:t>
      </w:r>
      <w:r>
        <w:rPr>
          <w:color w:val="396230"/>
          <w:spacing w:val="-11"/>
          <w:w w:val="95"/>
        </w:rPr>
        <w:t> </w:t>
      </w:r>
      <w:r>
        <w:rPr>
          <w:color w:val="396230"/>
          <w:w w:val="95"/>
        </w:rPr>
        <w:t>and</w:t>
      </w:r>
      <w:r>
        <w:rPr>
          <w:color w:val="396230"/>
          <w:spacing w:val="-9"/>
          <w:w w:val="95"/>
        </w:rPr>
        <w:t> </w:t>
      </w:r>
      <w:r>
        <w:rPr>
          <w:color w:val="396230"/>
          <w:w w:val="95"/>
        </w:rPr>
        <w:t>sense</w:t>
      </w:r>
      <w:r>
        <w:rPr>
          <w:color w:val="396230"/>
          <w:spacing w:val="-11"/>
          <w:w w:val="95"/>
        </w:rPr>
        <w:t> </w:t>
      </w:r>
      <w:r>
        <w:rPr>
          <w:color w:val="396230"/>
          <w:w w:val="95"/>
        </w:rPr>
        <w:t>of </w:t>
      </w:r>
      <w:r>
        <w:rPr>
          <w:color w:val="396230"/>
        </w:rPr>
        <w:t>place.</w:t>
      </w:r>
    </w:p>
    <w:p>
      <w:pPr>
        <w:spacing w:before="275"/>
        <w:ind w:left="100" w:right="0" w:firstLine="0"/>
        <w:jc w:val="left"/>
        <w:rPr>
          <w:rFonts w:ascii="Verdana"/>
          <w:sz w:val="22"/>
        </w:rPr>
      </w:pPr>
      <w:r>
        <w:rPr>
          <w:rFonts w:ascii="Verdana"/>
          <w:sz w:val="22"/>
          <w:u w:val="single"/>
        </w:rPr>
        <w:t>Strategy</w:t>
      </w:r>
    </w:p>
    <w:p>
      <w:pPr>
        <w:pStyle w:val="ListParagraph"/>
        <w:numPr>
          <w:ilvl w:val="1"/>
          <w:numId w:val="11"/>
        </w:numPr>
        <w:tabs>
          <w:tab w:pos="1001" w:val="left" w:leader="none"/>
        </w:tabs>
        <w:spacing w:line="259" w:lineRule="auto" w:before="15" w:after="0"/>
        <w:ind w:left="1000" w:right="119" w:hanging="540"/>
        <w:jc w:val="left"/>
        <w:rPr>
          <w:sz w:val="24"/>
        </w:rPr>
      </w:pPr>
      <w:r>
        <w:rPr>
          <w:sz w:val="24"/>
        </w:rPr>
        <w:t>Support adaptive reuse projects that provide cultural activities and community</w:t>
      </w:r>
      <w:r>
        <w:rPr>
          <w:spacing w:val="-33"/>
          <w:sz w:val="24"/>
        </w:rPr>
        <w:t> </w:t>
      </w:r>
      <w:r>
        <w:rPr>
          <w:sz w:val="24"/>
        </w:rPr>
        <w:t>gathering places.</w:t>
      </w:r>
    </w:p>
    <w:p>
      <w:pPr>
        <w:spacing w:before="127"/>
        <w:ind w:left="460" w:right="0" w:firstLine="0"/>
        <w:jc w:val="left"/>
        <w:rPr>
          <w:rFonts w:ascii="Verdana"/>
          <w:sz w:val="22"/>
        </w:rPr>
      </w:pPr>
      <w:r>
        <w:rPr/>
        <w:pict>
          <v:shape style="position:absolute;margin-left:90.066002pt;margin-top:5.899034pt;width:395.3pt;height:419pt;mso-position-horizontal-relative:page;mso-position-vertical-relative:paragraph;z-index:-10216" coordorigin="1801,118" coordsize="7906,8380" path="m4498,7382l4492,7308,4477,7230,4455,7147,4432,7078,4402,7006,4367,6931,4325,6853,4276,6772,4236,6713,4200,6663,4200,7348,4197,7405,4185,7461,4167,7519,4138,7579,4097,7641,4044,7707,3979,7777,3674,8082,2216,6625,2517,6324,2598,6248,2672,6188,2740,6144,2801,6118,2868,6103,2941,6099,3020,6106,3105,6124,3195,6153,3255,6179,3317,6211,3380,6250,3446,6295,3514,6346,3584,6404,3656,6469,3729,6540,3789,6602,3844,6662,3896,6721,3943,6779,3986,6835,4024,6891,4059,6945,4101,7019,4136,7092,4163,7161,4183,7228,4196,7292,4200,7348,4200,6663,4194,6654,4148,6594,4098,6533,4045,6472,3989,6411,3929,6349,3865,6287,3801,6228,3737,6174,3673,6122,3643,6099,3609,6074,3546,6029,3482,5988,3419,5950,3346,5913,3274,5880,3203,5853,3132,5831,3062,5814,2992,5802,2923,5795,2850,5793,2779,5800,2709,5815,2642,5838,2577,5868,2528,5897,2476,5934,2420,5979,2359,6033,2294,6096,1801,6589,3710,8497,4124,8082,4226,7981,4287,7915,4341,7850,4386,7784,4424,7718,4454,7651,4476,7585,4491,7518,4498,7450,4498,7382m6418,5789l6056,5661,5650,5518,5561,5489,5475,5465,5393,5446,5364,5441,5314,5431,5239,5421,5193,5420,5143,5423,5089,5430,5030,5441,5074,5371,5109,5301,5136,5232,5154,5163,5164,5095,5165,5027,5157,4959,5139,4881,5111,4805,5075,4730,5030,4657,4976,4587,4956,4564,4913,4518,4872,4480,4872,5037,4868,5093,4854,5148,4830,5204,4794,5263,4747,5324,4687,5387,4413,5661,4280,5794,3649,5163,4102,4710,4166,4653,4229,4610,4293,4581,4358,4565,4422,4564,4501,4579,4577,4609,4649,4654,4718,4713,4761,4761,4797,4812,4827,4865,4851,4922,4867,4980,4872,5037,4872,4480,4849,4458,4782,4406,4713,4361,4641,4322,4566,4290,4474,4262,4386,4249,4303,4251,4225,4267,4163,4292,4098,4328,4030,4376,3958,4436,3883,4507,3248,5142,5157,7050,5346,6861,4499,6013,4718,5794,4753,5760,4783,5733,4810,5712,4833,5697,4863,5683,4896,5673,4932,5665,4971,5661,5014,5661,5066,5666,5125,5677,5194,5693,5256,5710,5328,5731,5407,5756,5496,5785,6180,6027,6418,5789m7780,4426l7415,4231,6555,3777,6555,4084,6070,4569,5989,4426,5748,3996,5708,3924,5668,3852,5629,3787,5590,3722,5550,3658,5509,3595,5467,3533,5424,3471,5380,3411,5436,3447,5498,3484,5564,3524,5635,3566,5792,3657,6555,4084,6555,3777,5862,3411,5286,3104,5082,3308,5277,3658,5316,3729,5701,4426,6168,5275,6441,5766,6642,5565,6565,5431,6298,4963,6221,4830,6481,4569,6820,4231,7565,4642,7780,4426m8131,4076l7264,3209,7489,2984,7936,2537,7711,2312,7039,2984,6448,2393,7224,1616,6999,1391,6033,2357,7941,4265,8131,4076m9707,2500l8213,1006,8024,817,8497,343,8272,118,7138,1253,7363,1478,7834,1006,9517,2689,9707,2500e" filled="true" fillcolor="#c0c0c0" stroked="false">
            <v:path arrowok="t"/>
            <v:fill opacity="32896f" type="solid"/>
            <w10:wrap type="none"/>
          </v:shape>
        </w:pict>
      </w:r>
      <w:r>
        <w:rPr>
          <w:rFonts w:ascii="Verdana"/>
          <w:sz w:val="22"/>
          <w:u w:val="single"/>
        </w:rPr>
        <w:t>Actions</w:t>
      </w:r>
    </w:p>
    <w:p>
      <w:pPr>
        <w:pStyle w:val="ListParagraph"/>
        <w:numPr>
          <w:ilvl w:val="2"/>
          <w:numId w:val="11"/>
        </w:numPr>
        <w:tabs>
          <w:tab w:pos="1271" w:val="left" w:leader="none"/>
          <w:tab w:pos="1272" w:val="left" w:leader="none"/>
        </w:tabs>
        <w:spacing w:line="240" w:lineRule="auto" w:before="15" w:after="0"/>
        <w:ind w:left="1271" w:right="0" w:hanging="451"/>
        <w:jc w:val="left"/>
        <w:rPr>
          <w:sz w:val="24"/>
        </w:rPr>
      </w:pPr>
      <w:r>
        <w:rPr>
          <w:sz w:val="24"/>
        </w:rPr>
        <w:t>Use the </w:t>
      </w:r>
      <w:r>
        <w:rPr>
          <w:i/>
          <w:sz w:val="24"/>
        </w:rPr>
        <w:t>Heritage Preservation Plan </w:t>
      </w:r>
      <w:r>
        <w:rPr>
          <w:sz w:val="24"/>
        </w:rPr>
        <w:t>to guide the adaptive reuse of historic</w:t>
      </w:r>
      <w:r>
        <w:rPr>
          <w:spacing w:val="-11"/>
          <w:sz w:val="24"/>
        </w:rPr>
        <w:t> </w:t>
      </w:r>
      <w:r>
        <w:rPr>
          <w:sz w:val="24"/>
        </w:rPr>
        <w:t>resources.</w:t>
      </w:r>
    </w:p>
    <w:p>
      <w:pPr>
        <w:pStyle w:val="ListParagraph"/>
        <w:numPr>
          <w:ilvl w:val="2"/>
          <w:numId w:val="11"/>
        </w:numPr>
        <w:tabs>
          <w:tab w:pos="1271" w:val="left" w:leader="none"/>
          <w:tab w:pos="1272" w:val="left" w:leader="none"/>
        </w:tabs>
        <w:spacing w:line="240" w:lineRule="auto" w:before="159" w:after="0"/>
        <w:ind w:left="1271" w:right="119" w:hanging="451"/>
        <w:jc w:val="left"/>
        <w:rPr>
          <w:sz w:val="24"/>
        </w:rPr>
      </w:pPr>
      <w:r>
        <w:rPr>
          <w:sz w:val="24"/>
        </w:rPr>
        <w:t>Establish</w:t>
      </w:r>
      <w:r>
        <w:rPr>
          <w:spacing w:val="-8"/>
          <w:sz w:val="24"/>
        </w:rPr>
        <w:t> </w:t>
      </w:r>
      <w:r>
        <w:rPr>
          <w:sz w:val="24"/>
        </w:rPr>
        <w:t>collaborative</w:t>
      </w:r>
      <w:r>
        <w:rPr>
          <w:spacing w:val="-7"/>
          <w:sz w:val="24"/>
        </w:rPr>
        <w:t> </w:t>
      </w:r>
      <w:r>
        <w:rPr>
          <w:sz w:val="24"/>
        </w:rPr>
        <w:t>programs</w:t>
      </w:r>
      <w:r>
        <w:rPr>
          <w:spacing w:val="-8"/>
          <w:sz w:val="24"/>
        </w:rPr>
        <w:t> </w:t>
      </w:r>
      <w:r>
        <w:rPr>
          <w:sz w:val="24"/>
        </w:rPr>
        <w:t>and</w:t>
      </w:r>
      <w:r>
        <w:rPr>
          <w:spacing w:val="-7"/>
          <w:sz w:val="24"/>
        </w:rPr>
        <w:t> </w:t>
      </w:r>
      <w:r>
        <w:rPr>
          <w:sz w:val="24"/>
        </w:rPr>
        <w:t>partnerships</w:t>
      </w:r>
      <w:r>
        <w:rPr>
          <w:spacing w:val="-7"/>
          <w:sz w:val="24"/>
        </w:rPr>
        <w:t> </w:t>
      </w:r>
      <w:r>
        <w:rPr>
          <w:sz w:val="24"/>
        </w:rPr>
        <w:t>for</w:t>
      </w:r>
      <w:r>
        <w:rPr>
          <w:spacing w:val="-10"/>
          <w:sz w:val="24"/>
        </w:rPr>
        <w:t> </w:t>
      </w:r>
      <w:r>
        <w:rPr>
          <w:sz w:val="24"/>
        </w:rPr>
        <w:t>adaptive</w:t>
      </w:r>
      <w:r>
        <w:rPr>
          <w:spacing w:val="-7"/>
          <w:sz w:val="24"/>
        </w:rPr>
        <w:t> </w:t>
      </w:r>
      <w:r>
        <w:rPr>
          <w:sz w:val="24"/>
        </w:rPr>
        <w:t>reuse</w:t>
      </w:r>
      <w:r>
        <w:rPr>
          <w:spacing w:val="-7"/>
          <w:sz w:val="24"/>
        </w:rPr>
        <w:t> </w:t>
      </w:r>
      <w:r>
        <w:rPr>
          <w:sz w:val="24"/>
        </w:rPr>
        <w:t>projects</w:t>
      </w:r>
      <w:r>
        <w:rPr>
          <w:spacing w:val="-8"/>
          <w:sz w:val="24"/>
        </w:rPr>
        <w:t> </w:t>
      </w:r>
      <w:r>
        <w:rPr>
          <w:sz w:val="24"/>
        </w:rPr>
        <w:t>to</w:t>
      </w:r>
      <w:r>
        <w:rPr>
          <w:spacing w:val="-8"/>
          <w:sz w:val="24"/>
        </w:rPr>
        <w:t> </w:t>
      </w:r>
      <w:r>
        <w:rPr>
          <w:sz w:val="24"/>
        </w:rPr>
        <w:t>foster entrepreneurship and encourage innovative ways to reuse buildings and</w:t>
      </w:r>
      <w:r>
        <w:rPr>
          <w:spacing w:val="-3"/>
          <w:sz w:val="24"/>
        </w:rPr>
        <w:t> </w:t>
      </w:r>
      <w:r>
        <w:rPr>
          <w:sz w:val="24"/>
        </w:rPr>
        <w:t>sites.</w:t>
      </w:r>
    </w:p>
    <w:p>
      <w:pPr>
        <w:spacing w:before="171"/>
        <w:ind w:left="100" w:right="0" w:firstLine="0"/>
        <w:jc w:val="left"/>
        <w:rPr>
          <w:rFonts w:ascii="Verdana"/>
          <w:sz w:val="22"/>
        </w:rPr>
      </w:pPr>
      <w:r>
        <w:rPr>
          <w:rFonts w:ascii="Verdana"/>
          <w:sz w:val="22"/>
          <w:u w:val="single"/>
        </w:rPr>
        <w:t>Strategy</w:t>
      </w:r>
    </w:p>
    <w:p>
      <w:pPr>
        <w:pStyle w:val="ListParagraph"/>
        <w:numPr>
          <w:ilvl w:val="1"/>
          <w:numId w:val="11"/>
        </w:numPr>
        <w:tabs>
          <w:tab w:pos="1001" w:val="left" w:leader="none"/>
        </w:tabs>
        <w:spacing w:line="240" w:lineRule="auto" w:before="13" w:after="0"/>
        <w:ind w:left="1000" w:right="119" w:hanging="540"/>
        <w:jc w:val="left"/>
        <w:rPr>
          <w:sz w:val="24"/>
        </w:rPr>
      </w:pPr>
      <w:r>
        <w:rPr>
          <w:sz w:val="24"/>
        </w:rPr>
        <w:t>Prioritize</w:t>
      </w:r>
      <w:r>
        <w:rPr>
          <w:spacing w:val="-6"/>
          <w:sz w:val="24"/>
        </w:rPr>
        <w:t> </w:t>
      </w:r>
      <w:r>
        <w:rPr>
          <w:sz w:val="24"/>
        </w:rPr>
        <w:t>adaptive</w:t>
      </w:r>
      <w:r>
        <w:rPr>
          <w:spacing w:val="-6"/>
          <w:sz w:val="24"/>
        </w:rPr>
        <w:t> </w:t>
      </w:r>
      <w:r>
        <w:rPr>
          <w:sz w:val="24"/>
        </w:rPr>
        <w:t>reuse</w:t>
      </w:r>
      <w:r>
        <w:rPr>
          <w:spacing w:val="-6"/>
          <w:sz w:val="24"/>
        </w:rPr>
        <w:t> </w:t>
      </w:r>
      <w:r>
        <w:rPr>
          <w:sz w:val="24"/>
        </w:rPr>
        <w:t>of</w:t>
      </w:r>
      <w:r>
        <w:rPr>
          <w:spacing w:val="-4"/>
          <w:sz w:val="24"/>
        </w:rPr>
        <w:t> </w:t>
      </w:r>
      <w:r>
        <w:rPr>
          <w:sz w:val="24"/>
        </w:rPr>
        <w:t>existing</w:t>
      </w:r>
      <w:r>
        <w:rPr>
          <w:spacing w:val="-7"/>
          <w:sz w:val="24"/>
        </w:rPr>
        <w:t> </w:t>
      </w:r>
      <w:r>
        <w:rPr>
          <w:sz w:val="24"/>
        </w:rPr>
        <w:t>buildings</w:t>
      </w:r>
      <w:r>
        <w:rPr>
          <w:spacing w:val="-5"/>
          <w:sz w:val="24"/>
        </w:rPr>
        <w:t> </w:t>
      </w:r>
      <w:r>
        <w:rPr>
          <w:sz w:val="24"/>
        </w:rPr>
        <w:t>with</w:t>
      </w:r>
      <w:r>
        <w:rPr>
          <w:spacing w:val="-4"/>
          <w:sz w:val="24"/>
        </w:rPr>
        <w:t> </w:t>
      </w:r>
      <w:r>
        <w:rPr>
          <w:sz w:val="24"/>
        </w:rPr>
        <w:t>historic</w:t>
      </w:r>
      <w:r>
        <w:rPr>
          <w:spacing w:val="-6"/>
          <w:sz w:val="24"/>
        </w:rPr>
        <w:t> </w:t>
      </w:r>
      <w:r>
        <w:rPr>
          <w:sz w:val="24"/>
        </w:rPr>
        <w:t>significance</w:t>
      </w:r>
      <w:r>
        <w:rPr>
          <w:spacing w:val="-6"/>
          <w:sz w:val="24"/>
        </w:rPr>
        <w:t> </w:t>
      </w:r>
      <w:r>
        <w:rPr>
          <w:sz w:val="24"/>
        </w:rPr>
        <w:t>or</w:t>
      </w:r>
      <w:r>
        <w:rPr>
          <w:spacing w:val="-6"/>
          <w:sz w:val="24"/>
        </w:rPr>
        <w:t> </w:t>
      </w:r>
      <w:r>
        <w:rPr>
          <w:sz w:val="24"/>
        </w:rPr>
        <w:t>importance</w:t>
      </w:r>
      <w:r>
        <w:rPr>
          <w:spacing w:val="-6"/>
          <w:sz w:val="24"/>
        </w:rPr>
        <w:t> </w:t>
      </w:r>
      <w:r>
        <w:rPr>
          <w:sz w:val="24"/>
        </w:rPr>
        <w:t>to a community over</w:t>
      </w:r>
      <w:r>
        <w:rPr>
          <w:spacing w:val="-6"/>
          <w:sz w:val="24"/>
        </w:rPr>
        <w:t> </w:t>
      </w:r>
      <w:r>
        <w:rPr>
          <w:sz w:val="24"/>
        </w:rPr>
        <w:t>demolition.</w:t>
      </w:r>
    </w:p>
    <w:p>
      <w:pPr>
        <w:spacing w:before="171"/>
        <w:ind w:left="460" w:right="0" w:firstLine="0"/>
        <w:jc w:val="left"/>
        <w:rPr>
          <w:rFonts w:ascii="Verdana"/>
          <w:sz w:val="22"/>
        </w:rPr>
      </w:pPr>
      <w:r>
        <w:rPr>
          <w:rFonts w:ascii="Verdana"/>
          <w:sz w:val="22"/>
          <w:u w:val="single"/>
        </w:rPr>
        <w:t>Action</w:t>
      </w:r>
    </w:p>
    <w:p>
      <w:pPr>
        <w:pStyle w:val="ListParagraph"/>
        <w:numPr>
          <w:ilvl w:val="2"/>
          <w:numId w:val="11"/>
        </w:numPr>
        <w:tabs>
          <w:tab w:pos="1272" w:val="left" w:leader="none"/>
        </w:tabs>
        <w:spacing w:line="240" w:lineRule="auto" w:before="13" w:after="0"/>
        <w:ind w:left="1271" w:right="116" w:hanging="360"/>
        <w:jc w:val="left"/>
        <w:rPr>
          <w:sz w:val="24"/>
        </w:rPr>
      </w:pPr>
      <w:r>
        <w:rPr>
          <w:sz w:val="24"/>
        </w:rPr>
        <w:t>Consult</w:t>
      </w:r>
      <w:r>
        <w:rPr>
          <w:spacing w:val="-8"/>
          <w:sz w:val="24"/>
        </w:rPr>
        <w:t> </w:t>
      </w:r>
      <w:r>
        <w:rPr>
          <w:sz w:val="24"/>
        </w:rPr>
        <w:t>with</w:t>
      </w:r>
      <w:r>
        <w:rPr>
          <w:spacing w:val="-8"/>
          <w:sz w:val="24"/>
        </w:rPr>
        <w:t> </w:t>
      </w:r>
      <w:r>
        <w:rPr>
          <w:sz w:val="24"/>
        </w:rPr>
        <w:t>communities</w:t>
      </w:r>
      <w:r>
        <w:rPr>
          <w:spacing w:val="-9"/>
          <w:sz w:val="24"/>
        </w:rPr>
        <w:t> </w:t>
      </w:r>
      <w:r>
        <w:rPr>
          <w:sz w:val="24"/>
        </w:rPr>
        <w:t>to</w:t>
      </w:r>
      <w:r>
        <w:rPr>
          <w:spacing w:val="-8"/>
          <w:sz w:val="24"/>
        </w:rPr>
        <w:t> </w:t>
      </w:r>
      <w:r>
        <w:rPr>
          <w:sz w:val="24"/>
        </w:rPr>
        <w:t>ensure</w:t>
      </w:r>
      <w:r>
        <w:rPr>
          <w:spacing w:val="-10"/>
          <w:sz w:val="24"/>
        </w:rPr>
        <w:t> </w:t>
      </w:r>
      <w:r>
        <w:rPr>
          <w:sz w:val="24"/>
        </w:rPr>
        <w:t>all</w:t>
      </w:r>
      <w:r>
        <w:rPr>
          <w:spacing w:val="-8"/>
          <w:sz w:val="24"/>
        </w:rPr>
        <w:t> </w:t>
      </w:r>
      <w:r>
        <w:rPr>
          <w:sz w:val="24"/>
        </w:rPr>
        <w:t>unused</w:t>
      </w:r>
      <w:r>
        <w:rPr>
          <w:spacing w:val="-9"/>
          <w:sz w:val="24"/>
        </w:rPr>
        <w:t> </w:t>
      </w:r>
      <w:r>
        <w:rPr>
          <w:sz w:val="24"/>
        </w:rPr>
        <w:t>or</w:t>
      </w:r>
      <w:r>
        <w:rPr>
          <w:spacing w:val="-5"/>
          <w:sz w:val="24"/>
        </w:rPr>
        <w:t> </w:t>
      </w:r>
      <w:r>
        <w:rPr>
          <w:sz w:val="24"/>
        </w:rPr>
        <w:t>underutiltied</w:t>
      </w:r>
      <w:r>
        <w:rPr>
          <w:spacing w:val="-9"/>
          <w:sz w:val="24"/>
        </w:rPr>
        <w:t> </w:t>
      </w:r>
      <w:r>
        <w:rPr>
          <w:sz w:val="24"/>
        </w:rPr>
        <w:t>buildings</w:t>
      </w:r>
      <w:r>
        <w:rPr>
          <w:spacing w:val="-8"/>
          <w:sz w:val="24"/>
        </w:rPr>
        <w:t> </w:t>
      </w:r>
      <w:r>
        <w:rPr>
          <w:sz w:val="24"/>
        </w:rPr>
        <w:t>representing their history and character are identified, protected, and adaptively</w:t>
      </w:r>
      <w:r>
        <w:rPr>
          <w:spacing w:val="-9"/>
          <w:sz w:val="24"/>
        </w:rPr>
        <w:t> </w:t>
      </w:r>
      <w:r>
        <w:rPr>
          <w:sz w:val="24"/>
        </w:rPr>
        <w:t>reused.</w:t>
      </w:r>
    </w:p>
    <w:p>
      <w:pPr>
        <w:pStyle w:val="BodyText"/>
        <w:spacing w:before="10"/>
        <w:ind w:left="0" w:firstLine="0"/>
        <w:rPr>
          <w:sz w:val="35"/>
        </w:rPr>
      </w:pPr>
    </w:p>
    <w:p>
      <w:pPr>
        <w:pStyle w:val="Heading5"/>
        <w:spacing w:line="259" w:lineRule="auto"/>
        <w:ind w:right="120"/>
        <w:jc w:val="left"/>
      </w:pPr>
      <w:r>
        <w:rPr>
          <w:color w:val="396230"/>
          <w:w w:val="95"/>
        </w:rPr>
        <w:t>IR</w:t>
      </w:r>
      <w:r>
        <w:rPr>
          <w:color w:val="396230"/>
          <w:spacing w:val="-41"/>
          <w:w w:val="95"/>
        </w:rPr>
        <w:t> </w:t>
      </w:r>
      <w:r>
        <w:rPr>
          <w:color w:val="396230"/>
          <w:w w:val="95"/>
        </w:rPr>
        <w:t>Policy</w:t>
      </w:r>
      <w:r>
        <w:rPr>
          <w:color w:val="396230"/>
          <w:spacing w:val="-43"/>
          <w:w w:val="95"/>
        </w:rPr>
        <w:t> </w:t>
      </w:r>
      <w:r>
        <w:rPr>
          <w:color w:val="396230"/>
          <w:w w:val="95"/>
        </w:rPr>
        <w:t>3:</w:t>
      </w:r>
      <w:r>
        <w:rPr>
          <w:color w:val="396230"/>
          <w:spacing w:val="-42"/>
          <w:w w:val="95"/>
        </w:rPr>
        <w:t> </w:t>
      </w:r>
      <w:r>
        <w:rPr>
          <w:color w:val="396230"/>
          <w:w w:val="95"/>
        </w:rPr>
        <w:t>Promote</w:t>
      </w:r>
      <w:r>
        <w:rPr>
          <w:color w:val="396230"/>
          <w:spacing w:val="-42"/>
          <w:w w:val="95"/>
        </w:rPr>
        <w:t> </w:t>
      </w:r>
      <w:r>
        <w:rPr>
          <w:color w:val="396230"/>
          <w:w w:val="95"/>
        </w:rPr>
        <w:t>redevelopment</w:t>
      </w:r>
      <w:r>
        <w:rPr>
          <w:color w:val="396230"/>
          <w:spacing w:val="-42"/>
          <w:w w:val="95"/>
        </w:rPr>
        <w:t> </w:t>
      </w:r>
      <w:r>
        <w:rPr>
          <w:color w:val="396230"/>
          <w:w w:val="95"/>
        </w:rPr>
        <w:t>and</w:t>
      </w:r>
      <w:r>
        <w:rPr>
          <w:color w:val="396230"/>
          <w:spacing w:val="-42"/>
          <w:w w:val="95"/>
        </w:rPr>
        <w:t> </w:t>
      </w:r>
      <w:r>
        <w:rPr>
          <w:color w:val="396230"/>
          <w:w w:val="95"/>
        </w:rPr>
        <w:t>infill</w:t>
      </w:r>
      <w:r>
        <w:rPr>
          <w:color w:val="396230"/>
          <w:spacing w:val="-42"/>
          <w:w w:val="95"/>
        </w:rPr>
        <w:t> </w:t>
      </w:r>
      <w:r>
        <w:rPr>
          <w:color w:val="396230"/>
          <w:w w:val="95"/>
        </w:rPr>
        <w:t>projects</w:t>
      </w:r>
      <w:r>
        <w:rPr>
          <w:color w:val="396230"/>
          <w:spacing w:val="-41"/>
          <w:w w:val="95"/>
        </w:rPr>
        <w:t> </w:t>
      </w:r>
      <w:r>
        <w:rPr>
          <w:color w:val="396230"/>
          <w:w w:val="95"/>
        </w:rPr>
        <w:t>that</w:t>
      </w:r>
      <w:r>
        <w:rPr>
          <w:color w:val="396230"/>
          <w:spacing w:val="-42"/>
          <w:w w:val="95"/>
        </w:rPr>
        <w:t> </w:t>
      </w:r>
      <w:r>
        <w:rPr>
          <w:color w:val="396230"/>
          <w:w w:val="95"/>
        </w:rPr>
        <w:t>balance</w:t>
      </w:r>
      <w:r>
        <w:rPr>
          <w:color w:val="396230"/>
          <w:spacing w:val="-42"/>
          <w:w w:val="95"/>
        </w:rPr>
        <w:t> </w:t>
      </w:r>
      <w:r>
        <w:rPr>
          <w:color w:val="396230"/>
          <w:w w:val="95"/>
        </w:rPr>
        <w:t>compatibility </w:t>
      </w:r>
      <w:r>
        <w:rPr>
          <w:color w:val="396230"/>
        </w:rPr>
        <w:t>and</w:t>
      </w:r>
      <w:r>
        <w:rPr>
          <w:color w:val="396230"/>
          <w:spacing w:val="-33"/>
        </w:rPr>
        <w:t> </w:t>
      </w:r>
      <w:r>
        <w:rPr>
          <w:color w:val="396230"/>
        </w:rPr>
        <w:t>integration</w:t>
      </w:r>
      <w:r>
        <w:rPr>
          <w:color w:val="396230"/>
          <w:spacing w:val="-32"/>
        </w:rPr>
        <w:t> </w:t>
      </w:r>
      <w:r>
        <w:rPr>
          <w:color w:val="396230"/>
        </w:rPr>
        <w:t>with</w:t>
      </w:r>
      <w:r>
        <w:rPr>
          <w:color w:val="396230"/>
          <w:spacing w:val="-33"/>
        </w:rPr>
        <w:t> </w:t>
      </w:r>
      <w:r>
        <w:rPr>
          <w:color w:val="396230"/>
        </w:rPr>
        <w:t>new</w:t>
      </w:r>
      <w:r>
        <w:rPr>
          <w:color w:val="396230"/>
          <w:spacing w:val="-33"/>
        </w:rPr>
        <w:t> </w:t>
      </w:r>
      <w:r>
        <w:rPr>
          <w:color w:val="396230"/>
        </w:rPr>
        <w:t>housing</w:t>
      </w:r>
      <w:r>
        <w:rPr>
          <w:color w:val="396230"/>
          <w:spacing w:val="-31"/>
        </w:rPr>
        <w:t> </w:t>
      </w:r>
      <w:r>
        <w:rPr>
          <w:color w:val="396230"/>
        </w:rPr>
        <w:t>choices</w:t>
      </w:r>
      <w:r>
        <w:rPr>
          <w:color w:val="396230"/>
          <w:spacing w:val="-35"/>
        </w:rPr>
        <w:t> </w:t>
      </w:r>
      <w:r>
        <w:rPr>
          <w:color w:val="396230"/>
        </w:rPr>
        <w:t>and</w:t>
      </w:r>
      <w:r>
        <w:rPr>
          <w:color w:val="396230"/>
          <w:spacing w:val="-33"/>
        </w:rPr>
        <w:t> </w:t>
      </w:r>
      <w:r>
        <w:rPr>
          <w:color w:val="396230"/>
        </w:rPr>
        <w:t>innovative</w:t>
      </w:r>
      <w:r>
        <w:rPr>
          <w:color w:val="396230"/>
          <w:spacing w:val="-33"/>
        </w:rPr>
        <w:t> </w:t>
      </w:r>
      <w:r>
        <w:rPr>
          <w:color w:val="396230"/>
        </w:rPr>
        <w:t>designs.</w:t>
      </w:r>
    </w:p>
    <w:p>
      <w:pPr>
        <w:spacing w:before="274"/>
        <w:ind w:left="100" w:right="0" w:firstLine="0"/>
        <w:jc w:val="left"/>
        <w:rPr>
          <w:rFonts w:ascii="Verdana"/>
          <w:sz w:val="22"/>
        </w:rPr>
      </w:pPr>
      <w:r>
        <w:rPr>
          <w:rFonts w:ascii="Verdana"/>
          <w:sz w:val="22"/>
          <w:u w:val="single"/>
        </w:rPr>
        <w:t>Strategy</w:t>
      </w:r>
    </w:p>
    <w:p>
      <w:pPr>
        <w:pStyle w:val="ListParagraph"/>
        <w:numPr>
          <w:ilvl w:val="1"/>
          <w:numId w:val="12"/>
        </w:numPr>
        <w:tabs>
          <w:tab w:pos="1001" w:val="left" w:leader="none"/>
        </w:tabs>
        <w:spacing w:line="240" w:lineRule="auto" w:before="12" w:after="0"/>
        <w:ind w:left="1000" w:right="123" w:hanging="540"/>
        <w:jc w:val="both"/>
        <w:rPr>
          <w:sz w:val="24"/>
        </w:rPr>
      </w:pPr>
      <w:r>
        <w:rPr>
          <w:sz w:val="24"/>
        </w:rPr>
        <w:t>Redevelopment and infill projects will be evaluated based on compatibility and the integration of the development within the context of the surrounding development patterns.</w:t>
      </w:r>
    </w:p>
    <w:p>
      <w:pPr>
        <w:pStyle w:val="BodyText"/>
        <w:spacing w:before="9"/>
        <w:ind w:left="0" w:firstLine="0"/>
        <w:rPr>
          <w:sz w:val="21"/>
        </w:rPr>
      </w:pPr>
    </w:p>
    <w:p>
      <w:pPr>
        <w:spacing w:before="0"/>
        <w:ind w:left="460" w:right="0" w:firstLine="0"/>
        <w:jc w:val="left"/>
        <w:rPr>
          <w:rFonts w:ascii="Verdana"/>
          <w:sz w:val="22"/>
        </w:rPr>
      </w:pPr>
      <w:r>
        <w:rPr>
          <w:rFonts w:ascii="Verdana"/>
          <w:sz w:val="22"/>
          <w:u w:val="single"/>
        </w:rPr>
        <w:t>Actions</w:t>
      </w:r>
    </w:p>
    <w:p>
      <w:pPr>
        <w:pStyle w:val="ListParagraph"/>
        <w:numPr>
          <w:ilvl w:val="2"/>
          <w:numId w:val="12"/>
        </w:numPr>
        <w:tabs>
          <w:tab w:pos="1271" w:val="left" w:leader="none"/>
          <w:tab w:pos="1272" w:val="left" w:leader="none"/>
        </w:tabs>
        <w:spacing w:line="237" w:lineRule="auto" w:before="18" w:after="0"/>
        <w:ind w:left="1271" w:right="115" w:hanging="451"/>
        <w:jc w:val="left"/>
        <w:rPr>
          <w:sz w:val="24"/>
        </w:rPr>
      </w:pPr>
      <w:r>
        <w:rPr>
          <w:sz w:val="24"/>
        </w:rPr>
        <w:t>Ensure redevelopment and infill development is consistent with the Place Types land use</w:t>
      </w:r>
      <w:r>
        <w:rPr>
          <w:spacing w:val="-9"/>
          <w:sz w:val="24"/>
        </w:rPr>
        <w:t> </w:t>
      </w:r>
      <w:r>
        <w:rPr>
          <w:sz w:val="24"/>
        </w:rPr>
        <w:t>structure</w:t>
      </w:r>
      <w:r>
        <w:rPr>
          <w:spacing w:val="-8"/>
          <w:sz w:val="24"/>
        </w:rPr>
        <w:t> </w:t>
      </w:r>
      <w:r>
        <w:rPr>
          <w:sz w:val="24"/>
        </w:rPr>
        <w:t>and</w:t>
      </w:r>
      <w:r>
        <w:rPr>
          <w:spacing w:val="-9"/>
          <w:sz w:val="24"/>
        </w:rPr>
        <w:t> </w:t>
      </w:r>
      <w:r>
        <w:rPr>
          <w:sz w:val="24"/>
        </w:rPr>
        <w:t>furthers</w:t>
      </w:r>
      <w:r>
        <w:rPr>
          <w:spacing w:val="-6"/>
          <w:sz w:val="24"/>
        </w:rPr>
        <w:t> </w:t>
      </w:r>
      <w:r>
        <w:rPr>
          <w:sz w:val="24"/>
        </w:rPr>
        <w:t>the</w:t>
      </w:r>
      <w:r>
        <w:rPr>
          <w:spacing w:val="-7"/>
          <w:sz w:val="24"/>
        </w:rPr>
        <w:t> </w:t>
      </w:r>
      <w:r>
        <w:rPr>
          <w:sz w:val="24"/>
        </w:rPr>
        <w:t>goals</w:t>
      </w:r>
      <w:r>
        <w:rPr>
          <w:spacing w:val="-8"/>
          <w:sz w:val="24"/>
        </w:rPr>
        <w:t> </w:t>
      </w:r>
      <w:r>
        <w:rPr>
          <w:sz w:val="24"/>
        </w:rPr>
        <w:t>and</w:t>
      </w:r>
      <w:r>
        <w:rPr>
          <w:spacing w:val="-9"/>
          <w:sz w:val="24"/>
        </w:rPr>
        <w:t> </w:t>
      </w:r>
      <w:r>
        <w:rPr>
          <w:sz w:val="24"/>
        </w:rPr>
        <w:t>objectives</w:t>
      </w:r>
      <w:r>
        <w:rPr>
          <w:spacing w:val="-6"/>
          <w:sz w:val="24"/>
        </w:rPr>
        <w:t> </w:t>
      </w:r>
      <w:r>
        <w:rPr>
          <w:sz w:val="24"/>
        </w:rPr>
        <w:t>of</w:t>
      </w:r>
      <w:r>
        <w:rPr>
          <w:spacing w:val="-9"/>
          <w:sz w:val="24"/>
        </w:rPr>
        <w:t> </w:t>
      </w:r>
      <w:r>
        <w:rPr>
          <w:sz w:val="24"/>
        </w:rPr>
        <w:t>the</w:t>
      </w:r>
      <w:r>
        <w:rPr>
          <w:spacing w:val="-7"/>
          <w:sz w:val="24"/>
        </w:rPr>
        <w:t> </w:t>
      </w:r>
      <w:r>
        <w:rPr>
          <w:i/>
          <w:sz w:val="24"/>
        </w:rPr>
        <w:t>Loudoun</w:t>
      </w:r>
      <w:r>
        <w:rPr>
          <w:i/>
          <w:spacing w:val="-9"/>
          <w:sz w:val="24"/>
        </w:rPr>
        <w:t> </w:t>
      </w:r>
      <w:r>
        <w:rPr>
          <w:i/>
          <w:sz w:val="24"/>
        </w:rPr>
        <w:t>2040</w:t>
      </w:r>
      <w:r>
        <w:rPr>
          <w:i/>
          <w:spacing w:val="-8"/>
          <w:sz w:val="24"/>
        </w:rPr>
        <w:t> </w:t>
      </w:r>
      <w:r>
        <w:rPr>
          <w:i/>
          <w:sz w:val="24"/>
        </w:rPr>
        <w:t>General</w:t>
      </w:r>
      <w:r>
        <w:rPr>
          <w:i/>
          <w:spacing w:val="-8"/>
          <w:sz w:val="24"/>
        </w:rPr>
        <w:t> </w:t>
      </w:r>
      <w:r>
        <w:rPr>
          <w:i/>
          <w:sz w:val="24"/>
        </w:rPr>
        <w:t>Plan</w:t>
      </w:r>
      <w:r>
        <w:rPr>
          <w:sz w:val="24"/>
        </w:rPr>
        <w:t>.</w:t>
      </w:r>
    </w:p>
    <w:p>
      <w:pPr>
        <w:pStyle w:val="ListParagraph"/>
        <w:numPr>
          <w:ilvl w:val="2"/>
          <w:numId w:val="12"/>
        </w:numPr>
        <w:tabs>
          <w:tab w:pos="1271" w:val="left" w:leader="none"/>
          <w:tab w:pos="1272" w:val="left" w:leader="none"/>
        </w:tabs>
        <w:spacing w:line="240" w:lineRule="auto" w:before="121" w:after="0"/>
        <w:ind w:left="1271" w:right="122" w:hanging="451"/>
        <w:jc w:val="left"/>
        <w:rPr>
          <w:sz w:val="24"/>
        </w:rPr>
      </w:pPr>
      <w:r>
        <w:rPr>
          <w:sz w:val="24"/>
        </w:rPr>
        <w:t>Ensure residential development on infill sites is designed to fit into the surrounding context.</w:t>
      </w:r>
    </w:p>
    <w:p>
      <w:pPr>
        <w:pStyle w:val="BodyText"/>
        <w:spacing w:before="2"/>
        <w:ind w:left="0" w:firstLine="0"/>
        <w:rPr>
          <w:sz w:val="32"/>
        </w:rPr>
      </w:pPr>
    </w:p>
    <w:p>
      <w:pPr>
        <w:pStyle w:val="Heading3"/>
        <w:spacing w:before="1"/>
        <w:jc w:val="left"/>
      </w:pPr>
      <w:r>
        <w:rPr>
          <w:w w:val="95"/>
        </w:rPr>
        <w:t>Guidelines</w:t>
      </w:r>
    </w:p>
    <w:p>
      <w:pPr>
        <w:pStyle w:val="BodyText"/>
        <w:spacing w:line="259" w:lineRule="auto" w:before="25"/>
        <w:ind w:right="118" w:firstLine="0"/>
        <w:jc w:val="both"/>
      </w:pPr>
      <w:r>
        <w:rPr/>
        <w:t>Evaluate redevelopment and infill development projects using the following criteria to determine if the proposal is compatible with the surrounding development and will improve the site and its surroundings:</w:t>
      </w:r>
    </w:p>
    <w:p>
      <w:pPr>
        <w:pStyle w:val="ListParagraph"/>
        <w:numPr>
          <w:ilvl w:val="0"/>
          <w:numId w:val="13"/>
        </w:numPr>
        <w:tabs>
          <w:tab w:pos="821" w:val="left" w:leader="none"/>
        </w:tabs>
        <w:spacing w:line="240" w:lineRule="auto" w:before="121" w:after="0"/>
        <w:ind w:left="820" w:right="0" w:hanging="360"/>
        <w:jc w:val="left"/>
        <w:rPr>
          <w:sz w:val="24"/>
        </w:rPr>
      </w:pPr>
      <w:r>
        <w:rPr>
          <w:sz w:val="24"/>
        </w:rPr>
        <w:t>Place type</w:t>
      </w:r>
      <w:r>
        <w:rPr>
          <w:spacing w:val="-3"/>
          <w:sz w:val="24"/>
        </w:rPr>
        <w:t> </w:t>
      </w:r>
      <w:r>
        <w:rPr>
          <w:sz w:val="24"/>
        </w:rPr>
        <w:t>designation;</w:t>
      </w:r>
    </w:p>
    <w:p>
      <w:pPr>
        <w:pStyle w:val="ListParagraph"/>
        <w:numPr>
          <w:ilvl w:val="0"/>
          <w:numId w:val="13"/>
        </w:numPr>
        <w:tabs>
          <w:tab w:pos="821" w:val="left" w:leader="none"/>
        </w:tabs>
        <w:spacing w:line="240" w:lineRule="auto" w:before="22" w:after="0"/>
        <w:ind w:left="820" w:right="0" w:hanging="360"/>
        <w:jc w:val="left"/>
        <w:rPr>
          <w:sz w:val="24"/>
        </w:rPr>
      </w:pPr>
      <w:r>
        <w:rPr>
          <w:sz w:val="24"/>
        </w:rPr>
        <w:t>Size of the subject parcel relative to surrounding</w:t>
      </w:r>
      <w:r>
        <w:rPr>
          <w:spacing w:val="-11"/>
          <w:sz w:val="24"/>
        </w:rPr>
        <w:t> </w:t>
      </w:r>
      <w:r>
        <w:rPr>
          <w:sz w:val="24"/>
        </w:rPr>
        <w:t>parcels;</w:t>
      </w:r>
    </w:p>
    <w:p>
      <w:pPr>
        <w:pStyle w:val="ListParagraph"/>
        <w:numPr>
          <w:ilvl w:val="0"/>
          <w:numId w:val="13"/>
        </w:numPr>
        <w:tabs>
          <w:tab w:pos="821" w:val="left" w:leader="none"/>
        </w:tabs>
        <w:spacing w:line="240" w:lineRule="auto" w:before="21" w:after="0"/>
        <w:ind w:left="820" w:right="0" w:hanging="360"/>
        <w:jc w:val="left"/>
        <w:rPr>
          <w:sz w:val="24"/>
        </w:rPr>
      </w:pPr>
      <w:r>
        <w:rPr>
          <w:sz w:val="24"/>
        </w:rPr>
        <w:t>Relationship to established development</w:t>
      </w:r>
      <w:r>
        <w:rPr>
          <w:spacing w:val="0"/>
          <w:sz w:val="24"/>
        </w:rPr>
        <w:t> </w:t>
      </w:r>
      <w:r>
        <w:rPr>
          <w:sz w:val="24"/>
        </w:rPr>
        <w:t>pattern;</w:t>
      </w:r>
    </w:p>
    <w:p>
      <w:pPr>
        <w:pStyle w:val="ListParagraph"/>
        <w:numPr>
          <w:ilvl w:val="0"/>
          <w:numId w:val="13"/>
        </w:numPr>
        <w:tabs>
          <w:tab w:pos="821" w:val="left" w:leader="none"/>
        </w:tabs>
        <w:spacing w:line="240" w:lineRule="auto" w:before="22" w:after="0"/>
        <w:ind w:left="820" w:right="0" w:hanging="360"/>
        <w:jc w:val="left"/>
        <w:rPr>
          <w:sz w:val="24"/>
        </w:rPr>
      </w:pPr>
      <w:r>
        <w:rPr>
          <w:sz w:val="24"/>
        </w:rPr>
        <w:t>Compatibility of site design with or without buffering from adjoining</w:t>
      </w:r>
      <w:r>
        <w:rPr>
          <w:spacing w:val="-12"/>
          <w:sz w:val="24"/>
        </w:rPr>
        <w:t> </w:t>
      </w:r>
      <w:r>
        <w:rPr>
          <w:sz w:val="24"/>
        </w:rPr>
        <w:t>properties;</w:t>
      </w:r>
    </w:p>
    <w:p>
      <w:pPr>
        <w:spacing w:after="0" w:line="240" w:lineRule="auto"/>
        <w:jc w:val="left"/>
        <w:rPr>
          <w:sz w:val="24"/>
        </w:rPr>
        <w:sectPr>
          <w:pgSz w:w="12240" w:h="15840"/>
          <w:pgMar w:header="719" w:footer="540" w:top="1300" w:bottom="740" w:left="1340" w:right="1320"/>
        </w:sectPr>
      </w:pPr>
    </w:p>
    <w:p>
      <w:pPr>
        <w:pStyle w:val="ListParagraph"/>
        <w:numPr>
          <w:ilvl w:val="0"/>
          <w:numId w:val="13"/>
        </w:numPr>
        <w:tabs>
          <w:tab w:pos="821" w:val="left" w:leader="none"/>
        </w:tabs>
        <w:spacing w:line="240" w:lineRule="auto" w:before="117" w:after="0"/>
        <w:ind w:left="820" w:right="0" w:hanging="360"/>
        <w:jc w:val="left"/>
        <w:rPr>
          <w:sz w:val="24"/>
        </w:rPr>
      </w:pPr>
      <w:r>
        <w:rPr>
          <w:sz w:val="24"/>
        </w:rPr>
        <w:t>Transition to adjoining</w:t>
      </w:r>
      <w:r>
        <w:rPr>
          <w:spacing w:val="-3"/>
          <w:sz w:val="24"/>
        </w:rPr>
        <w:t> </w:t>
      </w:r>
      <w:r>
        <w:rPr>
          <w:sz w:val="24"/>
        </w:rPr>
        <w:t>properties;</w:t>
      </w:r>
    </w:p>
    <w:p>
      <w:pPr>
        <w:pStyle w:val="ListParagraph"/>
        <w:numPr>
          <w:ilvl w:val="0"/>
          <w:numId w:val="13"/>
        </w:numPr>
        <w:tabs>
          <w:tab w:pos="821" w:val="left" w:leader="none"/>
        </w:tabs>
        <w:spacing w:line="240" w:lineRule="auto" w:before="22" w:after="0"/>
        <w:ind w:left="820" w:right="0" w:hanging="360"/>
        <w:jc w:val="left"/>
        <w:rPr>
          <w:sz w:val="24"/>
        </w:rPr>
      </w:pPr>
      <w:r>
        <w:rPr>
          <w:sz w:val="24"/>
        </w:rPr>
        <w:t>Residential densities on adjacent parcels, projects, or land</w:t>
      </w:r>
      <w:r>
        <w:rPr>
          <w:spacing w:val="-11"/>
          <w:sz w:val="24"/>
        </w:rPr>
        <w:t> </w:t>
      </w:r>
      <w:r>
        <w:rPr>
          <w:sz w:val="24"/>
        </w:rPr>
        <w:t>bays;</w:t>
      </w:r>
    </w:p>
    <w:p>
      <w:pPr>
        <w:pStyle w:val="ListParagraph"/>
        <w:numPr>
          <w:ilvl w:val="0"/>
          <w:numId w:val="13"/>
        </w:numPr>
        <w:tabs>
          <w:tab w:pos="821" w:val="left" w:leader="none"/>
        </w:tabs>
        <w:spacing w:line="240" w:lineRule="auto" w:before="22" w:after="0"/>
        <w:ind w:left="820" w:right="0" w:hanging="360"/>
        <w:jc w:val="left"/>
        <w:rPr>
          <w:sz w:val="24"/>
        </w:rPr>
      </w:pPr>
      <w:r>
        <w:rPr>
          <w:sz w:val="24"/>
        </w:rPr>
        <w:t>Range of proposed housing types and</w:t>
      </w:r>
      <w:r>
        <w:rPr>
          <w:spacing w:val="-3"/>
          <w:sz w:val="24"/>
        </w:rPr>
        <w:t> </w:t>
      </w:r>
      <w:r>
        <w:rPr>
          <w:sz w:val="24"/>
        </w:rPr>
        <w:t>choices;</w:t>
      </w:r>
    </w:p>
    <w:p>
      <w:pPr>
        <w:pStyle w:val="ListParagraph"/>
        <w:numPr>
          <w:ilvl w:val="0"/>
          <w:numId w:val="13"/>
        </w:numPr>
        <w:tabs>
          <w:tab w:pos="821" w:val="left" w:leader="none"/>
        </w:tabs>
        <w:spacing w:line="240" w:lineRule="auto" w:before="21" w:after="0"/>
        <w:ind w:left="820" w:right="0" w:hanging="360"/>
        <w:jc w:val="left"/>
        <w:rPr>
          <w:sz w:val="24"/>
        </w:rPr>
      </w:pPr>
      <w:r>
        <w:rPr>
          <w:sz w:val="24"/>
        </w:rPr>
        <w:t>Intensity of proposed</w:t>
      </w:r>
      <w:r>
        <w:rPr>
          <w:spacing w:val="-5"/>
          <w:sz w:val="24"/>
        </w:rPr>
        <w:t> </w:t>
      </w:r>
      <w:r>
        <w:rPr>
          <w:sz w:val="24"/>
        </w:rPr>
        <w:t>uses;</w:t>
      </w:r>
    </w:p>
    <w:p>
      <w:pPr>
        <w:pStyle w:val="ListParagraph"/>
        <w:numPr>
          <w:ilvl w:val="0"/>
          <w:numId w:val="13"/>
        </w:numPr>
        <w:tabs>
          <w:tab w:pos="821" w:val="left" w:leader="none"/>
        </w:tabs>
        <w:spacing w:line="240" w:lineRule="auto" w:before="22" w:after="0"/>
        <w:ind w:left="820" w:right="0" w:hanging="360"/>
        <w:jc w:val="left"/>
        <w:rPr>
          <w:sz w:val="24"/>
        </w:rPr>
      </w:pPr>
      <w:r>
        <w:rPr>
          <w:sz w:val="24"/>
        </w:rPr>
        <w:t>Mix of uses</w:t>
      </w:r>
      <w:r>
        <w:rPr>
          <w:spacing w:val="0"/>
          <w:sz w:val="24"/>
        </w:rPr>
        <w:t> </w:t>
      </w:r>
      <w:r>
        <w:rPr>
          <w:sz w:val="24"/>
        </w:rPr>
        <w:t>provided;</w:t>
      </w:r>
    </w:p>
    <w:p>
      <w:pPr>
        <w:pStyle w:val="ListParagraph"/>
        <w:numPr>
          <w:ilvl w:val="0"/>
          <w:numId w:val="13"/>
        </w:numPr>
        <w:tabs>
          <w:tab w:pos="821" w:val="left" w:leader="none"/>
        </w:tabs>
        <w:spacing w:line="240" w:lineRule="auto" w:before="21" w:after="0"/>
        <w:ind w:left="820" w:right="0" w:hanging="360"/>
        <w:jc w:val="left"/>
        <w:rPr>
          <w:sz w:val="24"/>
        </w:rPr>
      </w:pPr>
      <w:r>
        <w:rPr>
          <w:sz w:val="24"/>
        </w:rPr>
        <w:t>Building form and</w:t>
      </w:r>
      <w:r>
        <w:rPr>
          <w:spacing w:val="-7"/>
          <w:sz w:val="24"/>
        </w:rPr>
        <w:t> </w:t>
      </w:r>
      <w:r>
        <w:rPr>
          <w:sz w:val="24"/>
        </w:rPr>
        <w:t>scale;</w:t>
      </w:r>
    </w:p>
    <w:p>
      <w:pPr>
        <w:pStyle w:val="ListParagraph"/>
        <w:numPr>
          <w:ilvl w:val="0"/>
          <w:numId w:val="13"/>
        </w:numPr>
        <w:tabs>
          <w:tab w:pos="821" w:val="left" w:leader="none"/>
        </w:tabs>
        <w:spacing w:line="240" w:lineRule="auto" w:before="24" w:after="0"/>
        <w:ind w:left="820" w:right="0" w:hanging="360"/>
        <w:jc w:val="left"/>
        <w:rPr>
          <w:sz w:val="24"/>
        </w:rPr>
      </w:pPr>
      <w:r>
        <w:rPr>
          <w:sz w:val="24"/>
        </w:rPr>
        <w:t>Vehicle, bicycle, and pedestrian</w:t>
      </w:r>
      <w:r>
        <w:rPr>
          <w:spacing w:val="-1"/>
          <w:sz w:val="24"/>
        </w:rPr>
        <w:t> </w:t>
      </w:r>
      <w:r>
        <w:rPr>
          <w:sz w:val="24"/>
        </w:rPr>
        <w:t>connectivity;</w:t>
      </w:r>
    </w:p>
    <w:p>
      <w:pPr>
        <w:pStyle w:val="ListParagraph"/>
        <w:numPr>
          <w:ilvl w:val="0"/>
          <w:numId w:val="13"/>
        </w:numPr>
        <w:tabs>
          <w:tab w:pos="821" w:val="left" w:leader="none"/>
        </w:tabs>
        <w:spacing w:line="240" w:lineRule="auto" w:before="22" w:after="0"/>
        <w:ind w:left="820" w:right="0" w:hanging="360"/>
        <w:jc w:val="left"/>
        <w:rPr>
          <w:sz w:val="24"/>
        </w:rPr>
      </w:pPr>
      <w:r>
        <w:rPr/>
        <w:pict>
          <v:shape style="position:absolute;margin-left:90.066002pt;margin-top:11.593125pt;width:395.3pt;height:419pt;mso-position-horizontal-relative:page;mso-position-vertical-relative:paragraph;z-index:-10192" coordorigin="1801,232" coordsize="7906,8380" path="m4498,7496l4492,7422,4477,7344,4455,7261,4432,7192,4402,7120,4367,7045,4325,6967,4276,6886,4236,6827,4200,6777,4200,7462,4197,7519,4185,7575,4167,7633,4138,7693,4097,7755,4044,7821,3979,7891,3674,8196,2216,6738,2517,6438,2598,6362,2672,6302,2740,6258,2801,6232,2868,6217,2941,6213,3020,6220,3105,6238,3195,6267,3255,6293,3317,6325,3380,6363,3446,6408,3514,6460,3584,6518,3656,6583,3729,6654,3789,6716,3844,6776,3896,6835,3943,6893,3986,6949,4024,7005,4059,7058,4101,7133,4136,7205,4163,7275,4183,7342,4196,7406,4200,7462,4200,6777,4194,6768,4148,6708,4098,6647,4045,6586,3989,6525,3929,6463,3865,6401,3801,6342,3737,6287,3673,6236,3643,6213,3609,6188,3546,6143,3482,6102,3419,6064,3346,6027,3274,5994,3203,5967,3132,5945,3062,5928,2992,5916,2923,5909,2850,5907,2779,5914,2709,5929,2642,5952,2577,5982,2528,6010,2476,6047,2420,6093,2359,6147,2294,6210,1801,6703,3710,8611,4124,8196,4226,8094,4287,8029,4341,7964,4386,7898,4424,7831,4454,7765,4476,7699,4491,7632,4498,7564,4498,7496m6418,5902l6056,5775,5650,5632,5561,5603,5475,5579,5393,5560,5364,5554,5314,5545,5239,5535,5193,5534,5143,5537,5089,5544,5030,5554,5074,5485,5109,5415,5136,5346,5154,5277,5164,5209,5165,5141,5157,5073,5139,4995,5111,4919,5075,4844,5030,4771,4976,4701,4956,4678,4913,4632,4872,4594,4872,5151,4868,5207,4854,5262,4830,5318,4794,5377,4747,5438,4687,5501,4413,5775,4280,5908,3649,5277,4102,4824,4166,4767,4229,4724,4293,4694,4358,4679,4422,4678,4501,4693,4577,4723,4649,4768,4718,4827,4761,4875,4797,4926,4827,4979,4851,5036,4867,5094,4872,5151,4872,4594,4849,4572,4782,4520,4713,4475,4641,4436,4566,4404,4474,4376,4386,4363,4303,4365,4225,4381,4163,4406,4098,4442,4030,4490,3958,4550,3883,4621,3248,5256,5157,7164,5346,6974,4499,6127,4718,5908,4753,5874,4783,5846,4810,5825,4833,5811,4863,5797,4896,5787,4932,5779,4971,5775,5014,5775,5066,5780,5125,5790,5194,5807,5256,5824,5328,5845,5407,5870,5496,5899,6180,6140,6418,5902m7780,4540l7415,4345,6555,3891,6555,4198,6070,4683,5989,4540,5748,4109,5708,4038,5668,3966,5629,3901,5590,3836,5550,3772,5509,3709,5467,3647,5424,3585,5380,3525,5436,3560,5498,3598,5564,3638,5635,3680,5792,3771,6555,4198,6555,3891,5862,3525,5286,3218,5082,3422,5277,3772,5316,3843,5701,4540,6168,5389,6441,5880,6642,5679,6565,5545,6298,5077,6221,4943,6481,4683,6820,4345,7565,4756,7780,4540m8131,4190l7264,3323,7489,3097,7936,2651,7711,2426,7039,3097,6448,2507,7224,1730,6999,1505,6033,2471,7941,4379,8131,4190m9707,2614l8213,1120,8024,931,8497,457,8272,232,7138,1366,7363,1592,7834,1120,9517,2803,9707,2614e" filled="true" fillcolor="#c0c0c0" stroked="false">
            <v:path arrowok="t"/>
            <v:fill opacity="32896f" type="solid"/>
            <w10:wrap type="none"/>
          </v:shape>
        </w:pict>
      </w:r>
      <w:r>
        <w:rPr>
          <w:sz w:val="24"/>
        </w:rPr>
        <w:t>Provision of community green spaces and other</w:t>
      </w:r>
      <w:r>
        <w:rPr>
          <w:spacing w:val="-7"/>
          <w:sz w:val="24"/>
        </w:rPr>
        <w:t> </w:t>
      </w:r>
      <w:r>
        <w:rPr>
          <w:sz w:val="24"/>
        </w:rPr>
        <w:t>amenities;</w:t>
      </w:r>
    </w:p>
    <w:p>
      <w:pPr>
        <w:pStyle w:val="ListParagraph"/>
        <w:numPr>
          <w:ilvl w:val="0"/>
          <w:numId w:val="13"/>
        </w:numPr>
        <w:tabs>
          <w:tab w:pos="821" w:val="left" w:leader="none"/>
        </w:tabs>
        <w:spacing w:line="240" w:lineRule="auto" w:before="22" w:after="0"/>
        <w:ind w:left="820" w:right="0" w:hanging="360"/>
        <w:jc w:val="left"/>
        <w:rPr>
          <w:sz w:val="24"/>
        </w:rPr>
      </w:pPr>
      <w:r>
        <w:rPr>
          <w:sz w:val="24"/>
        </w:rPr>
        <w:t>Protection of environmental resources and restoration of degraded resources on the</w:t>
      </w:r>
      <w:r>
        <w:rPr>
          <w:spacing w:val="-10"/>
          <w:sz w:val="24"/>
        </w:rPr>
        <w:t> </w:t>
      </w:r>
      <w:r>
        <w:rPr>
          <w:sz w:val="24"/>
        </w:rPr>
        <w:t>site;</w:t>
      </w:r>
    </w:p>
    <w:p>
      <w:pPr>
        <w:pStyle w:val="ListParagraph"/>
        <w:numPr>
          <w:ilvl w:val="0"/>
          <w:numId w:val="13"/>
        </w:numPr>
        <w:tabs>
          <w:tab w:pos="821" w:val="left" w:leader="none"/>
        </w:tabs>
        <w:spacing w:line="240" w:lineRule="auto" w:before="21" w:after="0"/>
        <w:ind w:left="820" w:right="0" w:hanging="360"/>
        <w:jc w:val="left"/>
        <w:rPr>
          <w:sz w:val="24"/>
        </w:rPr>
      </w:pPr>
      <w:r>
        <w:rPr>
          <w:sz w:val="24"/>
        </w:rPr>
        <w:t>Amount and location of open space and impervious</w:t>
      </w:r>
      <w:r>
        <w:rPr>
          <w:spacing w:val="-12"/>
          <w:sz w:val="24"/>
        </w:rPr>
        <w:t> </w:t>
      </w:r>
      <w:r>
        <w:rPr>
          <w:sz w:val="24"/>
        </w:rPr>
        <w:t>surface;</w:t>
      </w:r>
    </w:p>
    <w:p>
      <w:pPr>
        <w:pStyle w:val="ListParagraph"/>
        <w:numPr>
          <w:ilvl w:val="0"/>
          <w:numId w:val="13"/>
        </w:numPr>
        <w:tabs>
          <w:tab w:pos="821" w:val="left" w:leader="none"/>
        </w:tabs>
        <w:spacing w:line="259" w:lineRule="auto" w:before="22" w:after="0"/>
        <w:ind w:left="820" w:right="117" w:hanging="360"/>
        <w:jc w:val="left"/>
        <w:rPr>
          <w:sz w:val="24"/>
        </w:rPr>
      </w:pPr>
      <w:r>
        <w:rPr>
          <w:sz w:val="24"/>
        </w:rPr>
        <w:t>Adequate public facilities and services, transportation facilities, and infrastructure; andEffect of noise, light, and traffic generated on the</w:t>
      </w:r>
      <w:r>
        <w:rPr>
          <w:spacing w:val="-12"/>
          <w:sz w:val="24"/>
        </w:rPr>
        <w:t> </w:t>
      </w:r>
      <w:r>
        <w:rPr>
          <w:sz w:val="24"/>
        </w:rPr>
        <w:t>site.</w:t>
      </w:r>
    </w:p>
    <w:sectPr>
      <w:pgSz w:w="12240" w:h="15840"/>
      <w:pgMar w:header="719" w:footer="540" w:top="1300" w:bottom="740" w:left="134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Verdana">
    <w:altName w:val="Verdana"/>
    <w:charset w:val="0"/>
    <w:family w:val="swiss"/>
    <w:pitch w:val="variable"/>
  </w:font>
  <w:font w:name="Calibri">
    <w:altName w:val="Calibri"/>
    <w:charset w:val="0"/>
    <w:family w:val="swiss"/>
    <w:pitch w:val="variable"/>
  </w:font>
  <w:font w:name="Century Gothic">
    <w:altName w:val="Century Gothic"/>
    <w:charset w:val="0"/>
    <w:family w:val="auto"/>
    <w:pitch w:val="default"/>
  </w:font>
  <w:font w:name="Trebuchet MS">
    <w:altName w:val="Trebuchet MS"/>
    <w:charset w:val="0"/>
    <w:family w:val="swiss"/>
    <w:pitch w:val="variable"/>
  </w:font>
  <w:font w:name="Candara">
    <w:altName w:val="Candar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shape style="position:absolute;margin-left:478.987976pt;margin-top:753.975342pt;width:63.05pt;height:13.05pt;mso-position-horizontal-relative:page;mso-position-vertical-relative:page;z-index:-10696" type="#_x0000_t202" filled="false" stroked="false">
          <v:textbox inset="0,0,0,0">
            <w:txbxContent>
              <w:p>
                <w:pPr>
                  <w:spacing w:before="20"/>
                  <w:ind w:left="20" w:right="0" w:firstLine="0"/>
                  <w:jc w:val="left"/>
                  <w:rPr>
                    <w:rFonts w:ascii="Century Gothic"/>
                    <w:sz w:val="18"/>
                  </w:rPr>
                </w:pPr>
                <w:r>
                  <w:rPr>
                    <w:rFonts w:ascii="Century Gothic"/>
                    <w:sz w:val="18"/>
                  </w:rPr>
                  <w:t>CHAPTER 2-</w:t>
                </w:r>
                <w:r>
                  <w:rPr/>
                  <w:fldChar w:fldCharType="begin"/>
                </w:r>
                <w:r>
                  <w:rPr>
                    <w:rFonts w:ascii="Century Gothic"/>
                    <w:sz w:val="18"/>
                  </w:rPr>
                  <w:instrText> PAGE </w:instrText>
                </w:r>
                <w:r>
                  <w:rPr/>
                  <w:fldChar w:fldCharType="separate"/>
                </w:r>
                <w:r>
                  <w:rPr/>
                  <w:t>10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shapetype id="_x0000_t202" o:spt="202" coordsize="21600,21600" path="m,l,21600r21600,l21600,xe">
          <v:stroke joinstyle="miter"/>
          <v:path gradientshapeok="t" o:connecttype="rect"/>
        </v:shapetype>
        <v:shape style="position:absolute;margin-left:234.009995pt;margin-top:34.947266pt;width:306.2pt;height:13.05pt;mso-position-horizontal-relative:page;mso-position-vertical-relative:page;z-index:-10720" type="#_x0000_t202" filled="false" stroked="false">
          <v:textbox inset="0,0,0,0">
            <w:txbxContent>
              <w:p>
                <w:pPr>
                  <w:spacing w:before="20"/>
                  <w:ind w:left="20" w:right="0" w:firstLine="0"/>
                  <w:jc w:val="left"/>
                  <w:rPr>
                    <w:rFonts w:ascii="Verdana" w:hAnsi="Verdana"/>
                    <w:sz w:val="18"/>
                  </w:rPr>
                </w:pPr>
                <w:r>
                  <w:rPr>
                    <w:rFonts w:ascii="Verdana" w:hAnsi="Verdana"/>
                    <w:color w:val="585858"/>
                    <w:spacing w:val="10"/>
                    <w:sz w:val="18"/>
                  </w:rPr>
                  <w:t>Loudoun</w:t>
                </w:r>
                <w:r>
                  <w:rPr>
                    <w:rFonts w:ascii="Verdana" w:hAnsi="Verdana"/>
                    <w:color w:val="585858"/>
                    <w:spacing w:val="-4"/>
                    <w:sz w:val="18"/>
                  </w:rPr>
                  <w:t> </w:t>
                </w:r>
                <w:r>
                  <w:rPr>
                    <w:rFonts w:ascii="Verdana" w:hAnsi="Verdana"/>
                    <w:color w:val="585858"/>
                    <w:spacing w:val="10"/>
                    <w:sz w:val="18"/>
                  </w:rPr>
                  <w:t>2040</w:t>
                </w:r>
                <w:r>
                  <w:rPr>
                    <w:rFonts w:ascii="Verdana" w:hAnsi="Verdana"/>
                    <w:color w:val="585858"/>
                    <w:spacing w:val="-5"/>
                    <w:sz w:val="18"/>
                  </w:rPr>
                  <w:t> </w:t>
                </w:r>
                <w:r>
                  <w:rPr>
                    <w:rFonts w:ascii="Verdana" w:hAnsi="Verdana"/>
                    <w:color w:val="585858"/>
                    <w:spacing w:val="10"/>
                    <w:sz w:val="18"/>
                  </w:rPr>
                  <w:t>General</w:t>
                </w:r>
                <w:r>
                  <w:rPr>
                    <w:rFonts w:ascii="Verdana" w:hAnsi="Verdana"/>
                    <w:color w:val="585858"/>
                    <w:spacing w:val="-4"/>
                    <w:sz w:val="18"/>
                  </w:rPr>
                  <w:t> </w:t>
                </w:r>
                <w:r>
                  <w:rPr>
                    <w:rFonts w:ascii="Verdana" w:hAnsi="Verdana"/>
                    <w:color w:val="585858"/>
                    <w:spacing w:val="8"/>
                    <w:sz w:val="18"/>
                  </w:rPr>
                  <w:t>Plan</w:t>
                </w:r>
                <w:r>
                  <w:rPr>
                    <w:rFonts w:ascii="Verdana" w:hAnsi="Verdana"/>
                    <w:color w:val="585858"/>
                    <w:spacing w:val="-3"/>
                    <w:sz w:val="18"/>
                  </w:rPr>
                  <w:t> </w:t>
                </w:r>
                <w:r>
                  <w:rPr>
                    <w:rFonts w:ascii="Symbol" w:hAnsi="Symbol"/>
                    <w:color w:val="585858"/>
                    <w:sz w:val="18"/>
                  </w:rPr>
                  <w:t></w:t>
                </w:r>
                <w:r>
                  <w:rPr>
                    <w:color w:val="585858"/>
                    <w:spacing w:val="-33"/>
                    <w:sz w:val="18"/>
                  </w:rPr>
                  <w:t> </w:t>
                </w:r>
                <w:r>
                  <w:rPr>
                    <w:rFonts w:ascii="Verdana" w:hAnsi="Verdana"/>
                    <w:color w:val="585858"/>
                    <w:spacing w:val="10"/>
                    <w:sz w:val="18"/>
                  </w:rPr>
                  <w:t>Draft</w:t>
                </w:r>
                <w:r>
                  <w:rPr>
                    <w:rFonts w:ascii="Verdana" w:hAnsi="Verdana"/>
                    <w:color w:val="585858"/>
                    <w:spacing w:val="-5"/>
                    <w:sz w:val="18"/>
                  </w:rPr>
                  <w:t> </w:t>
                </w:r>
                <w:r>
                  <w:rPr>
                    <w:rFonts w:ascii="Verdana" w:hAnsi="Verdana"/>
                    <w:color w:val="585858"/>
                    <w:spacing w:val="10"/>
                    <w:sz w:val="18"/>
                  </w:rPr>
                  <w:t>Versi</w:t>
                </w:r>
                <w:r>
                  <w:rPr>
                    <w:rFonts w:ascii="Verdana" w:hAnsi="Verdana"/>
                    <w:color w:val="585858"/>
                    <w:spacing w:val="-52"/>
                    <w:sz w:val="18"/>
                  </w:rPr>
                  <w:t> </w:t>
                </w:r>
                <w:r>
                  <w:rPr>
                    <w:rFonts w:ascii="Verdana" w:hAnsi="Verdana"/>
                    <w:color w:val="585858"/>
                    <w:spacing w:val="5"/>
                    <w:sz w:val="18"/>
                  </w:rPr>
                  <w:t>on</w:t>
                </w:r>
                <w:r>
                  <w:rPr>
                    <w:rFonts w:ascii="Verdana" w:hAnsi="Verdana"/>
                    <w:color w:val="585858"/>
                    <w:spacing w:val="-51"/>
                    <w:sz w:val="18"/>
                  </w:rPr>
                  <w:t> </w:t>
                </w:r>
                <w:r>
                  <w:rPr>
                    <w:rFonts w:ascii="Verdana" w:hAnsi="Verdana"/>
                    <w:color w:val="585858"/>
                    <w:sz w:val="18"/>
                  </w:rPr>
                  <w:t>:</w:t>
                </w:r>
                <w:r>
                  <w:rPr>
                    <w:rFonts w:ascii="Verdana" w:hAnsi="Verdana"/>
                    <w:color w:val="585858"/>
                    <w:spacing w:val="-4"/>
                    <w:sz w:val="18"/>
                  </w:rPr>
                  <w:t> </w:t>
                </w:r>
                <w:r>
                  <w:rPr>
                    <w:rFonts w:ascii="Verdana" w:hAnsi="Verdana"/>
                    <w:color w:val="585858"/>
                    <w:spacing w:val="10"/>
                    <w:sz w:val="18"/>
                  </w:rPr>
                  <w:t>October</w:t>
                </w:r>
                <w:r>
                  <w:rPr>
                    <w:rFonts w:ascii="Verdana" w:hAnsi="Verdana"/>
                    <w:color w:val="585858"/>
                    <w:spacing w:val="-4"/>
                    <w:sz w:val="18"/>
                  </w:rPr>
                  <w:t> </w:t>
                </w:r>
                <w:r>
                  <w:rPr>
                    <w:rFonts w:ascii="Verdana" w:hAnsi="Verdana"/>
                    <w:color w:val="585858"/>
                    <w:spacing w:val="10"/>
                    <w:sz w:val="18"/>
                  </w:rPr>
                  <w:t>23,</w:t>
                </w:r>
                <w:r>
                  <w:rPr>
                    <w:rFonts w:ascii="Verdana" w:hAnsi="Verdana"/>
                    <w:color w:val="585858"/>
                    <w:spacing w:val="-7"/>
                    <w:sz w:val="18"/>
                  </w:rPr>
                  <w:t> </w:t>
                </w:r>
                <w:r>
                  <w:rPr>
                    <w:rFonts w:ascii="Verdana" w:hAnsi="Verdana"/>
                    <w:color w:val="585858"/>
                    <w:spacing w:val="10"/>
                    <w:sz w:val="18"/>
                  </w:rPr>
                  <w:t>2018</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96" w:hanging="360"/>
      </w:pPr>
      <w:rPr>
        <w:rFonts w:hint="default"/>
      </w:rPr>
    </w:lvl>
    <w:lvl w:ilvl="2">
      <w:start w:val="0"/>
      <w:numFmt w:val="bullet"/>
      <w:lvlText w:val="•"/>
      <w:lvlJc w:val="left"/>
      <w:pPr>
        <w:ind w:left="2572" w:hanging="360"/>
      </w:pPr>
      <w:rPr>
        <w:rFonts w:hint="default"/>
      </w:rPr>
    </w:lvl>
    <w:lvl w:ilvl="3">
      <w:start w:val="0"/>
      <w:numFmt w:val="bullet"/>
      <w:lvlText w:val="•"/>
      <w:lvlJc w:val="left"/>
      <w:pPr>
        <w:ind w:left="3448" w:hanging="360"/>
      </w:pPr>
      <w:rPr>
        <w:rFonts w:hint="default"/>
      </w:rPr>
    </w:lvl>
    <w:lvl w:ilvl="4">
      <w:start w:val="0"/>
      <w:numFmt w:val="bullet"/>
      <w:lvlText w:val="•"/>
      <w:lvlJc w:val="left"/>
      <w:pPr>
        <w:ind w:left="4324" w:hanging="360"/>
      </w:pPr>
      <w:rPr>
        <w:rFonts w:hint="default"/>
      </w:rPr>
    </w:lvl>
    <w:lvl w:ilvl="5">
      <w:start w:val="0"/>
      <w:numFmt w:val="bullet"/>
      <w:lvlText w:val="•"/>
      <w:lvlJc w:val="left"/>
      <w:pPr>
        <w:ind w:left="5200" w:hanging="360"/>
      </w:pPr>
      <w:rPr>
        <w:rFonts w:hint="default"/>
      </w:rPr>
    </w:lvl>
    <w:lvl w:ilvl="6">
      <w:start w:val="0"/>
      <w:numFmt w:val="bullet"/>
      <w:lvlText w:val="•"/>
      <w:lvlJc w:val="left"/>
      <w:pPr>
        <w:ind w:left="6076" w:hanging="360"/>
      </w:pPr>
      <w:rPr>
        <w:rFonts w:hint="default"/>
      </w:rPr>
    </w:lvl>
    <w:lvl w:ilvl="7">
      <w:start w:val="0"/>
      <w:numFmt w:val="bullet"/>
      <w:lvlText w:val="•"/>
      <w:lvlJc w:val="left"/>
      <w:pPr>
        <w:ind w:left="6952" w:hanging="360"/>
      </w:pPr>
      <w:rPr>
        <w:rFonts w:hint="default"/>
      </w:rPr>
    </w:lvl>
    <w:lvl w:ilvl="8">
      <w:start w:val="0"/>
      <w:numFmt w:val="bullet"/>
      <w:lvlText w:val="•"/>
      <w:lvlJc w:val="left"/>
      <w:pPr>
        <w:ind w:left="7828" w:hanging="360"/>
      </w:pPr>
      <w:rPr>
        <w:rFonts w:hint="default"/>
      </w:rPr>
    </w:lvl>
  </w:abstractNum>
  <w:abstractNum w:abstractNumId="11">
    <w:multiLevelType w:val="hybridMultilevel"/>
    <w:lvl w:ilvl="0">
      <w:start w:val="3"/>
      <w:numFmt w:val="decimal"/>
      <w:lvlText w:val="%1"/>
      <w:lvlJc w:val="left"/>
      <w:pPr>
        <w:ind w:left="1000" w:hanging="540"/>
        <w:jc w:val="left"/>
      </w:pPr>
      <w:rPr>
        <w:rFonts w:hint="default"/>
      </w:rPr>
    </w:lvl>
    <w:lvl w:ilvl="1">
      <w:start w:val="1"/>
      <w:numFmt w:val="decimal"/>
      <w:lvlText w:val="%1.%2."/>
      <w:lvlJc w:val="left"/>
      <w:pPr>
        <w:ind w:left="1000" w:hanging="540"/>
        <w:jc w:val="left"/>
      </w:pPr>
      <w:rPr>
        <w:rFonts w:hint="default" w:ascii="Times New Roman" w:hAnsi="Times New Roman" w:eastAsia="Times New Roman" w:cs="Times New Roman"/>
        <w:spacing w:val="-22"/>
        <w:w w:val="99"/>
        <w:sz w:val="24"/>
        <w:szCs w:val="24"/>
      </w:rPr>
    </w:lvl>
    <w:lvl w:ilvl="2">
      <w:start w:val="1"/>
      <w:numFmt w:val="upperLetter"/>
      <w:lvlText w:val="%3."/>
      <w:lvlJc w:val="left"/>
      <w:pPr>
        <w:ind w:left="1271" w:hanging="452"/>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3124" w:hanging="452"/>
      </w:pPr>
      <w:rPr>
        <w:rFonts w:hint="default"/>
      </w:rPr>
    </w:lvl>
    <w:lvl w:ilvl="4">
      <w:start w:val="0"/>
      <w:numFmt w:val="bullet"/>
      <w:lvlText w:val="•"/>
      <w:lvlJc w:val="left"/>
      <w:pPr>
        <w:ind w:left="4046" w:hanging="452"/>
      </w:pPr>
      <w:rPr>
        <w:rFonts w:hint="default"/>
      </w:rPr>
    </w:lvl>
    <w:lvl w:ilvl="5">
      <w:start w:val="0"/>
      <w:numFmt w:val="bullet"/>
      <w:lvlText w:val="•"/>
      <w:lvlJc w:val="left"/>
      <w:pPr>
        <w:ind w:left="4968" w:hanging="452"/>
      </w:pPr>
      <w:rPr>
        <w:rFonts w:hint="default"/>
      </w:rPr>
    </w:lvl>
    <w:lvl w:ilvl="6">
      <w:start w:val="0"/>
      <w:numFmt w:val="bullet"/>
      <w:lvlText w:val="•"/>
      <w:lvlJc w:val="left"/>
      <w:pPr>
        <w:ind w:left="5891" w:hanging="452"/>
      </w:pPr>
      <w:rPr>
        <w:rFonts w:hint="default"/>
      </w:rPr>
    </w:lvl>
    <w:lvl w:ilvl="7">
      <w:start w:val="0"/>
      <w:numFmt w:val="bullet"/>
      <w:lvlText w:val="•"/>
      <w:lvlJc w:val="left"/>
      <w:pPr>
        <w:ind w:left="6813" w:hanging="452"/>
      </w:pPr>
      <w:rPr>
        <w:rFonts w:hint="default"/>
      </w:rPr>
    </w:lvl>
    <w:lvl w:ilvl="8">
      <w:start w:val="0"/>
      <w:numFmt w:val="bullet"/>
      <w:lvlText w:val="•"/>
      <w:lvlJc w:val="left"/>
      <w:pPr>
        <w:ind w:left="7735" w:hanging="452"/>
      </w:pPr>
      <w:rPr>
        <w:rFonts w:hint="default"/>
      </w:rPr>
    </w:lvl>
  </w:abstractNum>
  <w:abstractNum w:abstractNumId="10">
    <w:multiLevelType w:val="hybridMultilevel"/>
    <w:lvl w:ilvl="0">
      <w:start w:val="2"/>
      <w:numFmt w:val="decimal"/>
      <w:lvlText w:val="%1"/>
      <w:lvlJc w:val="left"/>
      <w:pPr>
        <w:ind w:left="1000" w:hanging="540"/>
        <w:jc w:val="left"/>
      </w:pPr>
      <w:rPr>
        <w:rFonts w:hint="default"/>
      </w:rPr>
    </w:lvl>
    <w:lvl w:ilvl="1">
      <w:start w:val="1"/>
      <w:numFmt w:val="decimal"/>
      <w:lvlText w:val="%1.%2."/>
      <w:lvlJc w:val="left"/>
      <w:pPr>
        <w:ind w:left="1000" w:hanging="540"/>
        <w:jc w:val="left"/>
      </w:pPr>
      <w:rPr>
        <w:rFonts w:hint="default" w:ascii="Times New Roman" w:hAnsi="Times New Roman" w:eastAsia="Times New Roman" w:cs="Times New Roman"/>
        <w:spacing w:val="-5"/>
        <w:w w:val="99"/>
        <w:sz w:val="24"/>
        <w:szCs w:val="24"/>
      </w:rPr>
    </w:lvl>
    <w:lvl w:ilvl="2">
      <w:start w:val="1"/>
      <w:numFmt w:val="upperLetter"/>
      <w:lvlText w:val="%3."/>
      <w:lvlJc w:val="left"/>
      <w:pPr>
        <w:ind w:left="1271" w:hanging="452"/>
        <w:jc w:val="left"/>
      </w:pPr>
      <w:rPr>
        <w:rFonts w:hint="default" w:ascii="Times New Roman" w:hAnsi="Times New Roman" w:eastAsia="Times New Roman" w:cs="Times New Roman"/>
        <w:spacing w:val="-2"/>
        <w:w w:val="100"/>
        <w:sz w:val="22"/>
        <w:szCs w:val="22"/>
      </w:rPr>
    </w:lvl>
    <w:lvl w:ilvl="3">
      <w:start w:val="0"/>
      <w:numFmt w:val="bullet"/>
      <w:lvlText w:val="•"/>
      <w:lvlJc w:val="left"/>
      <w:pPr>
        <w:ind w:left="3124" w:hanging="452"/>
      </w:pPr>
      <w:rPr>
        <w:rFonts w:hint="default"/>
      </w:rPr>
    </w:lvl>
    <w:lvl w:ilvl="4">
      <w:start w:val="0"/>
      <w:numFmt w:val="bullet"/>
      <w:lvlText w:val="•"/>
      <w:lvlJc w:val="left"/>
      <w:pPr>
        <w:ind w:left="4046" w:hanging="452"/>
      </w:pPr>
      <w:rPr>
        <w:rFonts w:hint="default"/>
      </w:rPr>
    </w:lvl>
    <w:lvl w:ilvl="5">
      <w:start w:val="0"/>
      <w:numFmt w:val="bullet"/>
      <w:lvlText w:val="•"/>
      <w:lvlJc w:val="left"/>
      <w:pPr>
        <w:ind w:left="4968" w:hanging="452"/>
      </w:pPr>
      <w:rPr>
        <w:rFonts w:hint="default"/>
      </w:rPr>
    </w:lvl>
    <w:lvl w:ilvl="6">
      <w:start w:val="0"/>
      <w:numFmt w:val="bullet"/>
      <w:lvlText w:val="•"/>
      <w:lvlJc w:val="left"/>
      <w:pPr>
        <w:ind w:left="5891" w:hanging="452"/>
      </w:pPr>
      <w:rPr>
        <w:rFonts w:hint="default"/>
      </w:rPr>
    </w:lvl>
    <w:lvl w:ilvl="7">
      <w:start w:val="0"/>
      <w:numFmt w:val="bullet"/>
      <w:lvlText w:val="•"/>
      <w:lvlJc w:val="left"/>
      <w:pPr>
        <w:ind w:left="6813" w:hanging="452"/>
      </w:pPr>
      <w:rPr>
        <w:rFonts w:hint="default"/>
      </w:rPr>
    </w:lvl>
    <w:lvl w:ilvl="8">
      <w:start w:val="0"/>
      <w:numFmt w:val="bullet"/>
      <w:lvlText w:val="•"/>
      <w:lvlJc w:val="left"/>
      <w:pPr>
        <w:ind w:left="7735" w:hanging="452"/>
      </w:pPr>
      <w:rPr>
        <w:rFonts w:hint="default"/>
      </w:rPr>
    </w:lvl>
  </w:abstractNum>
  <w:abstractNum w:abstractNumId="9">
    <w:multiLevelType w:val="hybridMultilevel"/>
    <w:lvl w:ilvl="0">
      <w:start w:val="1"/>
      <w:numFmt w:val="decimal"/>
      <w:lvlText w:val="%1"/>
      <w:lvlJc w:val="left"/>
      <w:pPr>
        <w:ind w:left="911" w:hanging="452"/>
        <w:jc w:val="left"/>
      </w:pPr>
      <w:rPr>
        <w:rFonts w:hint="default"/>
      </w:rPr>
    </w:lvl>
    <w:lvl w:ilvl="1">
      <w:start w:val="1"/>
      <w:numFmt w:val="decimal"/>
      <w:lvlText w:val="%1.%2."/>
      <w:lvlJc w:val="left"/>
      <w:pPr>
        <w:ind w:left="911" w:hanging="452"/>
        <w:jc w:val="left"/>
      </w:pPr>
      <w:rPr>
        <w:rFonts w:hint="default" w:ascii="Times New Roman" w:hAnsi="Times New Roman" w:eastAsia="Times New Roman" w:cs="Times New Roman"/>
        <w:spacing w:val="-29"/>
        <w:w w:val="99"/>
        <w:sz w:val="24"/>
        <w:szCs w:val="24"/>
      </w:rPr>
    </w:lvl>
    <w:lvl w:ilvl="2">
      <w:start w:val="1"/>
      <w:numFmt w:val="upperLetter"/>
      <w:lvlText w:val="%3."/>
      <w:lvlJc w:val="left"/>
      <w:pPr>
        <w:ind w:left="1180" w:hanging="360"/>
        <w:jc w:val="left"/>
      </w:pPr>
      <w:rPr>
        <w:rFonts w:hint="default"/>
        <w:spacing w:val="-2"/>
        <w:w w:val="100"/>
      </w:rPr>
    </w:lvl>
    <w:lvl w:ilvl="3">
      <w:start w:val="0"/>
      <w:numFmt w:val="bullet"/>
      <w:lvlText w:val="•"/>
      <w:lvlJc w:val="left"/>
      <w:pPr>
        <w:ind w:left="2317" w:hanging="360"/>
      </w:pPr>
      <w:rPr>
        <w:rFonts w:hint="default"/>
      </w:rPr>
    </w:lvl>
    <w:lvl w:ilvl="4">
      <w:start w:val="0"/>
      <w:numFmt w:val="bullet"/>
      <w:lvlText w:val="•"/>
      <w:lvlJc w:val="left"/>
      <w:pPr>
        <w:ind w:left="3355" w:hanging="360"/>
      </w:pPr>
      <w:rPr>
        <w:rFonts w:hint="default"/>
      </w:rPr>
    </w:lvl>
    <w:lvl w:ilvl="5">
      <w:start w:val="0"/>
      <w:numFmt w:val="bullet"/>
      <w:lvlText w:val="•"/>
      <w:lvlJc w:val="left"/>
      <w:pPr>
        <w:ind w:left="4392" w:hanging="360"/>
      </w:pPr>
      <w:rPr>
        <w:rFonts w:hint="default"/>
      </w:rPr>
    </w:lvl>
    <w:lvl w:ilvl="6">
      <w:start w:val="0"/>
      <w:numFmt w:val="bullet"/>
      <w:lvlText w:val="•"/>
      <w:lvlJc w:val="left"/>
      <w:pPr>
        <w:ind w:left="5430" w:hanging="360"/>
      </w:pPr>
      <w:rPr>
        <w:rFonts w:hint="default"/>
      </w:rPr>
    </w:lvl>
    <w:lvl w:ilvl="7">
      <w:start w:val="0"/>
      <w:numFmt w:val="bullet"/>
      <w:lvlText w:val="•"/>
      <w:lvlJc w:val="left"/>
      <w:pPr>
        <w:ind w:left="6467" w:hanging="360"/>
      </w:pPr>
      <w:rPr>
        <w:rFonts w:hint="default"/>
      </w:rPr>
    </w:lvl>
    <w:lvl w:ilvl="8">
      <w:start w:val="0"/>
      <w:numFmt w:val="bullet"/>
      <w:lvlText w:val="•"/>
      <w:lvlJc w:val="left"/>
      <w:pPr>
        <w:ind w:left="7505" w:hanging="360"/>
      </w:pPr>
      <w:rPr>
        <w:rFonts w:hint="default"/>
      </w:rPr>
    </w:lvl>
  </w:abstractNum>
  <w:abstractNum w:abstractNumId="8">
    <w:multiLevelType w:val="hybridMultilevel"/>
    <w:lvl w:ilvl="0">
      <w:start w:val="6"/>
      <w:numFmt w:val="decimal"/>
      <w:lvlText w:val="%1"/>
      <w:lvlJc w:val="left"/>
      <w:pPr>
        <w:ind w:left="1000" w:hanging="540"/>
        <w:jc w:val="left"/>
      </w:pPr>
      <w:rPr>
        <w:rFonts w:hint="default"/>
      </w:rPr>
    </w:lvl>
    <w:lvl w:ilvl="1">
      <w:start w:val="1"/>
      <w:numFmt w:val="decimal"/>
      <w:lvlText w:val="%1.%2."/>
      <w:lvlJc w:val="left"/>
      <w:pPr>
        <w:ind w:left="1000" w:hanging="540"/>
        <w:jc w:val="left"/>
      </w:pPr>
      <w:rPr>
        <w:rFonts w:hint="default" w:ascii="Times New Roman" w:hAnsi="Times New Roman" w:eastAsia="Times New Roman" w:cs="Times New Roman"/>
        <w:spacing w:val="-27"/>
        <w:w w:val="99"/>
        <w:sz w:val="24"/>
        <w:szCs w:val="24"/>
      </w:rPr>
    </w:lvl>
    <w:lvl w:ilvl="2">
      <w:start w:val="1"/>
      <w:numFmt w:val="upperLetter"/>
      <w:lvlText w:val="%3."/>
      <w:lvlJc w:val="left"/>
      <w:pPr>
        <w:ind w:left="1180" w:hanging="360"/>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3046" w:hanging="360"/>
      </w:pPr>
      <w:rPr>
        <w:rFonts w:hint="default"/>
      </w:rPr>
    </w:lvl>
    <w:lvl w:ilvl="4">
      <w:start w:val="0"/>
      <w:numFmt w:val="bullet"/>
      <w:lvlText w:val="•"/>
      <w:lvlJc w:val="left"/>
      <w:pPr>
        <w:ind w:left="3980" w:hanging="360"/>
      </w:pPr>
      <w:rPr>
        <w:rFonts w:hint="default"/>
      </w:rPr>
    </w:lvl>
    <w:lvl w:ilvl="5">
      <w:start w:val="0"/>
      <w:numFmt w:val="bullet"/>
      <w:lvlText w:val="•"/>
      <w:lvlJc w:val="left"/>
      <w:pPr>
        <w:ind w:left="4913" w:hanging="360"/>
      </w:pPr>
      <w:rPr>
        <w:rFonts w:hint="default"/>
      </w:rPr>
    </w:lvl>
    <w:lvl w:ilvl="6">
      <w:start w:val="0"/>
      <w:numFmt w:val="bullet"/>
      <w:lvlText w:val="•"/>
      <w:lvlJc w:val="left"/>
      <w:pPr>
        <w:ind w:left="5846" w:hanging="360"/>
      </w:pPr>
      <w:rPr>
        <w:rFonts w:hint="default"/>
      </w:rPr>
    </w:lvl>
    <w:lvl w:ilvl="7">
      <w:start w:val="0"/>
      <w:numFmt w:val="bullet"/>
      <w:lvlText w:val="•"/>
      <w:lvlJc w:val="left"/>
      <w:pPr>
        <w:ind w:left="6780" w:hanging="360"/>
      </w:pPr>
      <w:rPr>
        <w:rFonts w:hint="default"/>
      </w:rPr>
    </w:lvl>
    <w:lvl w:ilvl="8">
      <w:start w:val="0"/>
      <w:numFmt w:val="bullet"/>
      <w:lvlText w:val="•"/>
      <w:lvlJc w:val="left"/>
      <w:pPr>
        <w:ind w:left="7713" w:hanging="360"/>
      </w:pPr>
      <w:rPr>
        <w:rFonts w:hint="default"/>
      </w:rPr>
    </w:lvl>
  </w:abstractNum>
  <w:abstractNum w:abstractNumId="7">
    <w:multiLevelType w:val="hybridMultilevel"/>
    <w:lvl w:ilvl="0">
      <w:start w:val="5"/>
      <w:numFmt w:val="decimal"/>
      <w:lvlText w:val="%1"/>
      <w:lvlJc w:val="left"/>
      <w:pPr>
        <w:ind w:left="1000" w:hanging="540"/>
        <w:jc w:val="left"/>
      </w:pPr>
      <w:rPr>
        <w:rFonts w:hint="default"/>
      </w:rPr>
    </w:lvl>
    <w:lvl w:ilvl="1">
      <w:start w:val="1"/>
      <w:numFmt w:val="decimal"/>
      <w:lvlText w:val="%1.%2."/>
      <w:lvlJc w:val="left"/>
      <w:pPr>
        <w:ind w:left="1000" w:hanging="540"/>
        <w:jc w:val="left"/>
      </w:pPr>
      <w:rPr>
        <w:rFonts w:hint="default" w:ascii="Times New Roman" w:hAnsi="Times New Roman" w:eastAsia="Times New Roman" w:cs="Times New Roman"/>
        <w:spacing w:val="-3"/>
        <w:w w:val="99"/>
        <w:sz w:val="24"/>
        <w:szCs w:val="24"/>
      </w:rPr>
    </w:lvl>
    <w:lvl w:ilvl="2">
      <w:start w:val="1"/>
      <w:numFmt w:val="upperLetter"/>
      <w:lvlText w:val="%3."/>
      <w:lvlJc w:val="left"/>
      <w:pPr>
        <w:ind w:left="1180" w:hanging="360"/>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3046" w:hanging="360"/>
      </w:pPr>
      <w:rPr>
        <w:rFonts w:hint="default"/>
      </w:rPr>
    </w:lvl>
    <w:lvl w:ilvl="4">
      <w:start w:val="0"/>
      <w:numFmt w:val="bullet"/>
      <w:lvlText w:val="•"/>
      <w:lvlJc w:val="left"/>
      <w:pPr>
        <w:ind w:left="3980" w:hanging="360"/>
      </w:pPr>
      <w:rPr>
        <w:rFonts w:hint="default"/>
      </w:rPr>
    </w:lvl>
    <w:lvl w:ilvl="5">
      <w:start w:val="0"/>
      <w:numFmt w:val="bullet"/>
      <w:lvlText w:val="•"/>
      <w:lvlJc w:val="left"/>
      <w:pPr>
        <w:ind w:left="4913" w:hanging="360"/>
      </w:pPr>
      <w:rPr>
        <w:rFonts w:hint="default"/>
      </w:rPr>
    </w:lvl>
    <w:lvl w:ilvl="6">
      <w:start w:val="0"/>
      <w:numFmt w:val="bullet"/>
      <w:lvlText w:val="•"/>
      <w:lvlJc w:val="left"/>
      <w:pPr>
        <w:ind w:left="5846" w:hanging="360"/>
      </w:pPr>
      <w:rPr>
        <w:rFonts w:hint="default"/>
      </w:rPr>
    </w:lvl>
    <w:lvl w:ilvl="7">
      <w:start w:val="0"/>
      <w:numFmt w:val="bullet"/>
      <w:lvlText w:val="•"/>
      <w:lvlJc w:val="left"/>
      <w:pPr>
        <w:ind w:left="6780" w:hanging="360"/>
      </w:pPr>
      <w:rPr>
        <w:rFonts w:hint="default"/>
      </w:rPr>
    </w:lvl>
    <w:lvl w:ilvl="8">
      <w:start w:val="0"/>
      <w:numFmt w:val="bullet"/>
      <w:lvlText w:val="•"/>
      <w:lvlJc w:val="left"/>
      <w:pPr>
        <w:ind w:left="7713" w:hanging="360"/>
      </w:pPr>
      <w:rPr>
        <w:rFonts w:hint="default"/>
      </w:rPr>
    </w:lvl>
  </w:abstractNum>
  <w:abstractNum w:abstractNumId="6">
    <w:multiLevelType w:val="hybridMultilevel"/>
    <w:lvl w:ilvl="0">
      <w:start w:val="4"/>
      <w:numFmt w:val="decimal"/>
      <w:lvlText w:val="%1"/>
      <w:lvlJc w:val="left"/>
      <w:pPr>
        <w:ind w:left="1000" w:hanging="540"/>
        <w:jc w:val="left"/>
      </w:pPr>
      <w:rPr>
        <w:rFonts w:hint="default"/>
      </w:rPr>
    </w:lvl>
    <w:lvl w:ilvl="1">
      <w:start w:val="1"/>
      <w:numFmt w:val="decimal"/>
      <w:lvlText w:val="%1.%2."/>
      <w:lvlJc w:val="left"/>
      <w:pPr>
        <w:ind w:left="1000" w:hanging="540"/>
        <w:jc w:val="left"/>
      </w:pPr>
      <w:rPr>
        <w:rFonts w:hint="default" w:ascii="Times New Roman" w:hAnsi="Times New Roman" w:eastAsia="Times New Roman" w:cs="Times New Roman"/>
        <w:spacing w:val="-5"/>
        <w:w w:val="99"/>
        <w:sz w:val="24"/>
        <w:szCs w:val="24"/>
      </w:rPr>
    </w:lvl>
    <w:lvl w:ilvl="2">
      <w:start w:val="1"/>
      <w:numFmt w:val="upperLetter"/>
      <w:lvlText w:val="%3."/>
      <w:lvlJc w:val="left"/>
      <w:pPr>
        <w:ind w:left="1180" w:hanging="360"/>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3046" w:hanging="360"/>
      </w:pPr>
      <w:rPr>
        <w:rFonts w:hint="default"/>
      </w:rPr>
    </w:lvl>
    <w:lvl w:ilvl="4">
      <w:start w:val="0"/>
      <w:numFmt w:val="bullet"/>
      <w:lvlText w:val="•"/>
      <w:lvlJc w:val="left"/>
      <w:pPr>
        <w:ind w:left="3980" w:hanging="360"/>
      </w:pPr>
      <w:rPr>
        <w:rFonts w:hint="default"/>
      </w:rPr>
    </w:lvl>
    <w:lvl w:ilvl="5">
      <w:start w:val="0"/>
      <w:numFmt w:val="bullet"/>
      <w:lvlText w:val="•"/>
      <w:lvlJc w:val="left"/>
      <w:pPr>
        <w:ind w:left="4913" w:hanging="360"/>
      </w:pPr>
      <w:rPr>
        <w:rFonts w:hint="default"/>
      </w:rPr>
    </w:lvl>
    <w:lvl w:ilvl="6">
      <w:start w:val="0"/>
      <w:numFmt w:val="bullet"/>
      <w:lvlText w:val="•"/>
      <w:lvlJc w:val="left"/>
      <w:pPr>
        <w:ind w:left="5846" w:hanging="360"/>
      </w:pPr>
      <w:rPr>
        <w:rFonts w:hint="default"/>
      </w:rPr>
    </w:lvl>
    <w:lvl w:ilvl="7">
      <w:start w:val="0"/>
      <w:numFmt w:val="bullet"/>
      <w:lvlText w:val="•"/>
      <w:lvlJc w:val="left"/>
      <w:pPr>
        <w:ind w:left="6780" w:hanging="360"/>
      </w:pPr>
      <w:rPr>
        <w:rFonts w:hint="default"/>
      </w:rPr>
    </w:lvl>
    <w:lvl w:ilvl="8">
      <w:start w:val="0"/>
      <w:numFmt w:val="bullet"/>
      <w:lvlText w:val="•"/>
      <w:lvlJc w:val="left"/>
      <w:pPr>
        <w:ind w:left="7713" w:hanging="360"/>
      </w:pPr>
      <w:rPr>
        <w:rFonts w:hint="default"/>
      </w:rPr>
    </w:lvl>
  </w:abstractNum>
  <w:abstractNum w:abstractNumId="5">
    <w:multiLevelType w:val="hybridMultilevel"/>
    <w:lvl w:ilvl="0">
      <w:start w:val="3"/>
      <w:numFmt w:val="decimal"/>
      <w:lvlText w:val="%1"/>
      <w:lvlJc w:val="left"/>
      <w:pPr>
        <w:ind w:left="1000" w:hanging="540"/>
        <w:jc w:val="left"/>
      </w:pPr>
      <w:rPr>
        <w:rFonts w:hint="default"/>
      </w:rPr>
    </w:lvl>
    <w:lvl w:ilvl="1">
      <w:start w:val="1"/>
      <w:numFmt w:val="decimal"/>
      <w:lvlText w:val="%1.%2."/>
      <w:lvlJc w:val="left"/>
      <w:pPr>
        <w:ind w:left="1000" w:hanging="540"/>
        <w:jc w:val="left"/>
      </w:pPr>
      <w:rPr>
        <w:rFonts w:hint="default" w:ascii="Times New Roman" w:hAnsi="Times New Roman" w:eastAsia="Times New Roman" w:cs="Times New Roman"/>
        <w:spacing w:val="-5"/>
        <w:w w:val="99"/>
        <w:sz w:val="24"/>
        <w:szCs w:val="24"/>
      </w:rPr>
    </w:lvl>
    <w:lvl w:ilvl="2">
      <w:start w:val="1"/>
      <w:numFmt w:val="upperLetter"/>
      <w:lvlText w:val="%3."/>
      <w:lvlJc w:val="left"/>
      <w:pPr>
        <w:ind w:left="1180" w:hanging="360"/>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3046" w:hanging="360"/>
      </w:pPr>
      <w:rPr>
        <w:rFonts w:hint="default"/>
      </w:rPr>
    </w:lvl>
    <w:lvl w:ilvl="4">
      <w:start w:val="0"/>
      <w:numFmt w:val="bullet"/>
      <w:lvlText w:val="•"/>
      <w:lvlJc w:val="left"/>
      <w:pPr>
        <w:ind w:left="3980" w:hanging="360"/>
      </w:pPr>
      <w:rPr>
        <w:rFonts w:hint="default"/>
      </w:rPr>
    </w:lvl>
    <w:lvl w:ilvl="5">
      <w:start w:val="0"/>
      <w:numFmt w:val="bullet"/>
      <w:lvlText w:val="•"/>
      <w:lvlJc w:val="left"/>
      <w:pPr>
        <w:ind w:left="4913" w:hanging="360"/>
      </w:pPr>
      <w:rPr>
        <w:rFonts w:hint="default"/>
      </w:rPr>
    </w:lvl>
    <w:lvl w:ilvl="6">
      <w:start w:val="0"/>
      <w:numFmt w:val="bullet"/>
      <w:lvlText w:val="•"/>
      <w:lvlJc w:val="left"/>
      <w:pPr>
        <w:ind w:left="5846" w:hanging="360"/>
      </w:pPr>
      <w:rPr>
        <w:rFonts w:hint="default"/>
      </w:rPr>
    </w:lvl>
    <w:lvl w:ilvl="7">
      <w:start w:val="0"/>
      <w:numFmt w:val="bullet"/>
      <w:lvlText w:val="•"/>
      <w:lvlJc w:val="left"/>
      <w:pPr>
        <w:ind w:left="6780" w:hanging="360"/>
      </w:pPr>
      <w:rPr>
        <w:rFonts w:hint="default"/>
      </w:rPr>
    </w:lvl>
    <w:lvl w:ilvl="8">
      <w:start w:val="0"/>
      <w:numFmt w:val="bullet"/>
      <w:lvlText w:val="•"/>
      <w:lvlJc w:val="left"/>
      <w:pPr>
        <w:ind w:left="7713" w:hanging="360"/>
      </w:pPr>
      <w:rPr>
        <w:rFonts w:hint="default"/>
      </w:rPr>
    </w:lvl>
  </w:abstractNum>
  <w:abstractNum w:abstractNumId="4">
    <w:multiLevelType w:val="hybridMultilevel"/>
    <w:lvl w:ilvl="0">
      <w:start w:val="2"/>
      <w:numFmt w:val="decimal"/>
      <w:lvlText w:val="%1"/>
      <w:lvlJc w:val="left"/>
      <w:pPr>
        <w:ind w:left="1000" w:hanging="540"/>
        <w:jc w:val="left"/>
      </w:pPr>
      <w:rPr>
        <w:rFonts w:hint="default"/>
      </w:rPr>
    </w:lvl>
    <w:lvl w:ilvl="1">
      <w:start w:val="1"/>
      <w:numFmt w:val="decimal"/>
      <w:lvlText w:val="%1.%2."/>
      <w:lvlJc w:val="left"/>
      <w:pPr>
        <w:ind w:left="1000" w:hanging="540"/>
        <w:jc w:val="left"/>
      </w:pPr>
      <w:rPr>
        <w:rFonts w:hint="default" w:ascii="Times New Roman" w:hAnsi="Times New Roman" w:eastAsia="Times New Roman" w:cs="Times New Roman"/>
        <w:spacing w:val="-15"/>
        <w:w w:val="99"/>
        <w:sz w:val="24"/>
        <w:szCs w:val="24"/>
      </w:rPr>
    </w:lvl>
    <w:lvl w:ilvl="2">
      <w:start w:val="1"/>
      <w:numFmt w:val="upperLetter"/>
      <w:lvlText w:val="%3."/>
      <w:lvlJc w:val="left"/>
      <w:pPr>
        <w:ind w:left="1180" w:hanging="360"/>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3046" w:hanging="360"/>
      </w:pPr>
      <w:rPr>
        <w:rFonts w:hint="default"/>
      </w:rPr>
    </w:lvl>
    <w:lvl w:ilvl="4">
      <w:start w:val="0"/>
      <w:numFmt w:val="bullet"/>
      <w:lvlText w:val="•"/>
      <w:lvlJc w:val="left"/>
      <w:pPr>
        <w:ind w:left="3980" w:hanging="360"/>
      </w:pPr>
      <w:rPr>
        <w:rFonts w:hint="default"/>
      </w:rPr>
    </w:lvl>
    <w:lvl w:ilvl="5">
      <w:start w:val="0"/>
      <w:numFmt w:val="bullet"/>
      <w:lvlText w:val="•"/>
      <w:lvlJc w:val="left"/>
      <w:pPr>
        <w:ind w:left="4913" w:hanging="360"/>
      </w:pPr>
      <w:rPr>
        <w:rFonts w:hint="default"/>
      </w:rPr>
    </w:lvl>
    <w:lvl w:ilvl="6">
      <w:start w:val="0"/>
      <w:numFmt w:val="bullet"/>
      <w:lvlText w:val="•"/>
      <w:lvlJc w:val="left"/>
      <w:pPr>
        <w:ind w:left="5846" w:hanging="360"/>
      </w:pPr>
      <w:rPr>
        <w:rFonts w:hint="default"/>
      </w:rPr>
    </w:lvl>
    <w:lvl w:ilvl="7">
      <w:start w:val="0"/>
      <w:numFmt w:val="bullet"/>
      <w:lvlText w:val="•"/>
      <w:lvlJc w:val="left"/>
      <w:pPr>
        <w:ind w:left="6780" w:hanging="360"/>
      </w:pPr>
      <w:rPr>
        <w:rFonts w:hint="default"/>
      </w:rPr>
    </w:lvl>
    <w:lvl w:ilvl="8">
      <w:start w:val="0"/>
      <w:numFmt w:val="bullet"/>
      <w:lvlText w:val="•"/>
      <w:lvlJc w:val="left"/>
      <w:pPr>
        <w:ind w:left="7713" w:hanging="360"/>
      </w:pPr>
      <w:rPr>
        <w:rFonts w:hint="default"/>
      </w:rPr>
    </w:lvl>
  </w:abstractNum>
  <w:abstractNum w:abstractNumId="3">
    <w:multiLevelType w:val="hybridMultilevel"/>
    <w:lvl w:ilvl="0">
      <w:start w:val="1"/>
      <w:numFmt w:val="decimal"/>
      <w:lvlText w:val="%1"/>
      <w:lvlJc w:val="left"/>
      <w:pPr>
        <w:ind w:left="1000" w:hanging="540"/>
        <w:jc w:val="left"/>
      </w:pPr>
      <w:rPr>
        <w:rFonts w:hint="default"/>
      </w:rPr>
    </w:lvl>
    <w:lvl w:ilvl="1">
      <w:start w:val="1"/>
      <w:numFmt w:val="decimal"/>
      <w:lvlText w:val="%1.%2."/>
      <w:lvlJc w:val="left"/>
      <w:pPr>
        <w:ind w:left="1000" w:hanging="540"/>
        <w:jc w:val="left"/>
      </w:pPr>
      <w:rPr>
        <w:rFonts w:hint="default" w:ascii="Times New Roman" w:hAnsi="Times New Roman" w:eastAsia="Times New Roman" w:cs="Times New Roman"/>
        <w:spacing w:val="-5"/>
        <w:w w:val="99"/>
        <w:sz w:val="24"/>
        <w:szCs w:val="24"/>
      </w:rPr>
    </w:lvl>
    <w:lvl w:ilvl="2">
      <w:start w:val="1"/>
      <w:numFmt w:val="upperLetter"/>
      <w:lvlText w:val="%3."/>
      <w:lvlJc w:val="left"/>
      <w:pPr>
        <w:ind w:left="1180" w:hanging="360"/>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3046" w:hanging="360"/>
      </w:pPr>
      <w:rPr>
        <w:rFonts w:hint="default"/>
      </w:rPr>
    </w:lvl>
    <w:lvl w:ilvl="4">
      <w:start w:val="0"/>
      <w:numFmt w:val="bullet"/>
      <w:lvlText w:val="•"/>
      <w:lvlJc w:val="left"/>
      <w:pPr>
        <w:ind w:left="3980" w:hanging="360"/>
      </w:pPr>
      <w:rPr>
        <w:rFonts w:hint="default"/>
      </w:rPr>
    </w:lvl>
    <w:lvl w:ilvl="5">
      <w:start w:val="0"/>
      <w:numFmt w:val="bullet"/>
      <w:lvlText w:val="•"/>
      <w:lvlJc w:val="left"/>
      <w:pPr>
        <w:ind w:left="4913" w:hanging="360"/>
      </w:pPr>
      <w:rPr>
        <w:rFonts w:hint="default"/>
      </w:rPr>
    </w:lvl>
    <w:lvl w:ilvl="6">
      <w:start w:val="0"/>
      <w:numFmt w:val="bullet"/>
      <w:lvlText w:val="•"/>
      <w:lvlJc w:val="left"/>
      <w:pPr>
        <w:ind w:left="5846" w:hanging="360"/>
      </w:pPr>
      <w:rPr>
        <w:rFonts w:hint="default"/>
      </w:rPr>
    </w:lvl>
    <w:lvl w:ilvl="7">
      <w:start w:val="0"/>
      <w:numFmt w:val="bullet"/>
      <w:lvlText w:val="•"/>
      <w:lvlJc w:val="left"/>
      <w:pPr>
        <w:ind w:left="6780" w:hanging="360"/>
      </w:pPr>
      <w:rPr>
        <w:rFonts w:hint="default"/>
      </w:rPr>
    </w:lvl>
    <w:lvl w:ilvl="8">
      <w:start w:val="0"/>
      <w:numFmt w:val="bullet"/>
      <w:lvlText w:val="•"/>
      <w:lvlJc w:val="left"/>
      <w:pPr>
        <w:ind w:left="7713" w:hanging="360"/>
      </w:pPr>
      <w:rPr>
        <w:rFonts w:hint="default"/>
      </w:rPr>
    </w:lvl>
  </w:abstractNum>
  <w:abstractNum w:abstractNumId="2">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96" w:hanging="360"/>
      </w:pPr>
      <w:rPr>
        <w:rFonts w:hint="default"/>
      </w:rPr>
    </w:lvl>
    <w:lvl w:ilvl="2">
      <w:start w:val="0"/>
      <w:numFmt w:val="bullet"/>
      <w:lvlText w:val="•"/>
      <w:lvlJc w:val="left"/>
      <w:pPr>
        <w:ind w:left="2572" w:hanging="360"/>
      </w:pPr>
      <w:rPr>
        <w:rFonts w:hint="default"/>
      </w:rPr>
    </w:lvl>
    <w:lvl w:ilvl="3">
      <w:start w:val="0"/>
      <w:numFmt w:val="bullet"/>
      <w:lvlText w:val="•"/>
      <w:lvlJc w:val="left"/>
      <w:pPr>
        <w:ind w:left="3448" w:hanging="360"/>
      </w:pPr>
      <w:rPr>
        <w:rFonts w:hint="default"/>
      </w:rPr>
    </w:lvl>
    <w:lvl w:ilvl="4">
      <w:start w:val="0"/>
      <w:numFmt w:val="bullet"/>
      <w:lvlText w:val="•"/>
      <w:lvlJc w:val="left"/>
      <w:pPr>
        <w:ind w:left="4324" w:hanging="360"/>
      </w:pPr>
      <w:rPr>
        <w:rFonts w:hint="default"/>
      </w:rPr>
    </w:lvl>
    <w:lvl w:ilvl="5">
      <w:start w:val="0"/>
      <w:numFmt w:val="bullet"/>
      <w:lvlText w:val="•"/>
      <w:lvlJc w:val="left"/>
      <w:pPr>
        <w:ind w:left="5200" w:hanging="360"/>
      </w:pPr>
      <w:rPr>
        <w:rFonts w:hint="default"/>
      </w:rPr>
    </w:lvl>
    <w:lvl w:ilvl="6">
      <w:start w:val="0"/>
      <w:numFmt w:val="bullet"/>
      <w:lvlText w:val="•"/>
      <w:lvlJc w:val="left"/>
      <w:pPr>
        <w:ind w:left="6076" w:hanging="360"/>
      </w:pPr>
      <w:rPr>
        <w:rFonts w:hint="default"/>
      </w:rPr>
    </w:lvl>
    <w:lvl w:ilvl="7">
      <w:start w:val="0"/>
      <w:numFmt w:val="bullet"/>
      <w:lvlText w:val="•"/>
      <w:lvlJc w:val="left"/>
      <w:pPr>
        <w:ind w:left="6952" w:hanging="360"/>
      </w:pPr>
      <w:rPr>
        <w:rFonts w:hint="default"/>
      </w:rPr>
    </w:lvl>
    <w:lvl w:ilvl="8">
      <w:start w:val="0"/>
      <w:numFmt w:val="bullet"/>
      <w:lvlText w:val="•"/>
      <w:lvlJc w:val="left"/>
      <w:pPr>
        <w:ind w:left="7828" w:hanging="360"/>
      </w:pPr>
      <w:rPr>
        <w:rFonts w:hint="default"/>
      </w:rPr>
    </w:lvl>
  </w:abstractNum>
  <w:abstractNum w:abstractNumId="1">
    <w:multiLevelType w:val="hybridMultilevel"/>
    <w:lvl w:ilvl="0">
      <w:start w:val="0"/>
      <w:numFmt w:val="bullet"/>
      <w:lvlText w:val=""/>
      <w:lvlJc w:val="left"/>
      <w:pPr>
        <w:ind w:left="820" w:hanging="360"/>
      </w:pPr>
      <w:rPr>
        <w:rFonts w:hint="default" w:ascii="Symbol" w:hAnsi="Symbol" w:eastAsia="Symbol" w:cs="Symbol"/>
        <w:w w:val="100"/>
        <w:sz w:val="24"/>
        <w:szCs w:val="24"/>
      </w:rPr>
    </w:lvl>
    <w:lvl w:ilvl="1">
      <w:start w:val="0"/>
      <w:numFmt w:val="bullet"/>
      <w:lvlText w:val="•"/>
      <w:lvlJc w:val="left"/>
      <w:pPr>
        <w:ind w:left="1696" w:hanging="360"/>
      </w:pPr>
      <w:rPr>
        <w:rFonts w:hint="default"/>
      </w:rPr>
    </w:lvl>
    <w:lvl w:ilvl="2">
      <w:start w:val="0"/>
      <w:numFmt w:val="bullet"/>
      <w:lvlText w:val="•"/>
      <w:lvlJc w:val="left"/>
      <w:pPr>
        <w:ind w:left="2572" w:hanging="360"/>
      </w:pPr>
      <w:rPr>
        <w:rFonts w:hint="default"/>
      </w:rPr>
    </w:lvl>
    <w:lvl w:ilvl="3">
      <w:start w:val="0"/>
      <w:numFmt w:val="bullet"/>
      <w:lvlText w:val="•"/>
      <w:lvlJc w:val="left"/>
      <w:pPr>
        <w:ind w:left="3448" w:hanging="360"/>
      </w:pPr>
      <w:rPr>
        <w:rFonts w:hint="default"/>
      </w:rPr>
    </w:lvl>
    <w:lvl w:ilvl="4">
      <w:start w:val="0"/>
      <w:numFmt w:val="bullet"/>
      <w:lvlText w:val="•"/>
      <w:lvlJc w:val="left"/>
      <w:pPr>
        <w:ind w:left="4324" w:hanging="360"/>
      </w:pPr>
      <w:rPr>
        <w:rFonts w:hint="default"/>
      </w:rPr>
    </w:lvl>
    <w:lvl w:ilvl="5">
      <w:start w:val="0"/>
      <w:numFmt w:val="bullet"/>
      <w:lvlText w:val="•"/>
      <w:lvlJc w:val="left"/>
      <w:pPr>
        <w:ind w:left="5200" w:hanging="360"/>
      </w:pPr>
      <w:rPr>
        <w:rFonts w:hint="default"/>
      </w:rPr>
    </w:lvl>
    <w:lvl w:ilvl="6">
      <w:start w:val="0"/>
      <w:numFmt w:val="bullet"/>
      <w:lvlText w:val="•"/>
      <w:lvlJc w:val="left"/>
      <w:pPr>
        <w:ind w:left="6076" w:hanging="360"/>
      </w:pPr>
      <w:rPr>
        <w:rFonts w:hint="default"/>
      </w:rPr>
    </w:lvl>
    <w:lvl w:ilvl="7">
      <w:start w:val="0"/>
      <w:numFmt w:val="bullet"/>
      <w:lvlText w:val="•"/>
      <w:lvlJc w:val="left"/>
      <w:pPr>
        <w:ind w:left="6952" w:hanging="360"/>
      </w:pPr>
      <w:rPr>
        <w:rFonts w:hint="default"/>
      </w:rPr>
    </w:lvl>
    <w:lvl w:ilvl="8">
      <w:start w:val="0"/>
      <w:numFmt w:val="bullet"/>
      <w:lvlText w:val="•"/>
      <w:lvlJc w:val="left"/>
      <w:pPr>
        <w:ind w:left="7828" w:hanging="360"/>
      </w:pPr>
      <w:rPr>
        <w:rFonts w:hint="default"/>
      </w:rPr>
    </w:lvl>
  </w:abstractNum>
  <w:abstractNum w:abstractNumId="0">
    <w:multiLevelType w:val="hybridMultilevel"/>
    <w:lvl w:ilvl="0">
      <w:start w:val="0"/>
      <w:numFmt w:val="bullet"/>
      <w:lvlText w:val="•"/>
      <w:lvlJc w:val="left"/>
      <w:pPr>
        <w:ind w:left="820" w:hanging="360"/>
      </w:pPr>
      <w:rPr>
        <w:rFonts w:hint="default" w:ascii="Times New Roman" w:hAnsi="Times New Roman" w:eastAsia="Times New Roman" w:cs="Times New Roman"/>
        <w:color w:val="201D1E"/>
        <w:spacing w:val="-2"/>
        <w:w w:val="99"/>
        <w:sz w:val="24"/>
        <w:szCs w:val="24"/>
      </w:rPr>
    </w:lvl>
    <w:lvl w:ilvl="1">
      <w:start w:val="0"/>
      <w:numFmt w:val="bullet"/>
      <w:lvlText w:val="•"/>
      <w:lvlJc w:val="left"/>
      <w:pPr>
        <w:ind w:left="1696" w:hanging="360"/>
      </w:pPr>
      <w:rPr>
        <w:rFonts w:hint="default"/>
      </w:rPr>
    </w:lvl>
    <w:lvl w:ilvl="2">
      <w:start w:val="0"/>
      <w:numFmt w:val="bullet"/>
      <w:lvlText w:val="•"/>
      <w:lvlJc w:val="left"/>
      <w:pPr>
        <w:ind w:left="2572" w:hanging="360"/>
      </w:pPr>
      <w:rPr>
        <w:rFonts w:hint="default"/>
      </w:rPr>
    </w:lvl>
    <w:lvl w:ilvl="3">
      <w:start w:val="0"/>
      <w:numFmt w:val="bullet"/>
      <w:lvlText w:val="•"/>
      <w:lvlJc w:val="left"/>
      <w:pPr>
        <w:ind w:left="3448" w:hanging="360"/>
      </w:pPr>
      <w:rPr>
        <w:rFonts w:hint="default"/>
      </w:rPr>
    </w:lvl>
    <w:lvl w:ilvl="4">
      <w:start w:val="0"/>
      <w:numFmt w:val="bullet"/>
      <w:lvlText w:val="•"/>
      <w:lvlJc w:val="left"/>
      <w:pPr>
        <w:ind w:left="4324" w:hanging="360"/>
      </w:pPr>
      <w:rPr>
        <w:rFonts w:hint="default"/>
      </w:rPr>
    </w:lvl>
    <w:lvl w:ilvl="5">
      <w:start w:val="0"/>
      <w:numFmt w:val="bullet"/>
      <w:lvlText w:val="•"/>
      <w:lvlJc w:val="left"/>
      <w:pPr>
        <w:ind w:left="5200" w:hanging="360"/>
      </w:pPr>
      <w:rPr>
        <w:rFonts w:hint="default"/>
      </w:rPr>
    </w:lvl>
    <w:lvl w:ilvl="6">
      <w:start w:val="0"/>
      <w:numFmt w:val="bullet"/>
      <w:lvlText w:val="•"/>
      <w:lvlJc w:val="left"/>
      <w:pPr>
        <w:ind w:left="6076" w:hanging="360"/>
      </w:pPr>
      <w:rPr>
        <w:rFonts w:hint="default"/>
      </w:rPr>
    </w:lvl>
    <w:lvl w:ilvl="7">
      <w:start w:val="0"/>
      <w:numFmt w:val="bullet"/>
      <w:lvlText w:val="•"/>
      <w:lvlJc w:val="left"/>
      <w:pPr>
        <w:ind w:left="6952" w:hanging="360"/>
      </w:pPr>
      <w:rPr>
        <w:rFonts w:hint="default"/>
      </w:rPr>
    </w:lvl>
    <w:lvl w:ilvl="8">
      <w:start w:val="0"/>
      <w:numFmt w:val="bullet"/>
      <w:lvlText w:val="•"/>
      <w:lvlJc w:val="left"/>
      <w:pPr>
        <w:ind w:left="7828" w:hanging="360"/>
      </w:pPr>
      <w:rPr>
        <w:rFonts w:hint="default"/>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23"/>
      <w:ind w:left="551"/>
    </w:pPr>
    <w:rPr>
      <w:rFonts w:ascii="Times New Roman" w:hAnsi="Times New Roman" w:eastAsia="Times New Roman" w:cs="Times New Roman"/>
      <w:sz w:val="24"/>
      <w:szCs w:val="24"/>
    </w:rPr>
  </w:style>
  <w:style w:styleId="BodyText" w:type="paragraph">
    <w:name w:val="Body Text"/>
    <w:basedOn w:val="Normal"/>
    <w:uiPriority w:val="1"/>
    <w:qFormat/>
    <w:pPr>
      <w:ind w:left="100" w:hanging="360"/>
    </w:pPr>
    <w:rPr>
      <w:rFonts w:ascii="Times New Roman" w:hAnsi="Times New Roman" w:eastAsia="Times New Roman" w:cs="Times New Roman"/>
      <w:sz w:val="24"/>
      <w:szCs w:val="24"/>
    </w:rPr>
  </w:style>
  <w:style w:styleId="Heading1" w:type="paragraph">
    <w:name w:val="Heading 1"/>
    <w:basedOn w:val="Normal"/>
    <w:uiPriority w:val="1"/>
    <w:qFormat/>
    <w:pPr>
      <w:spacing w:before="100"/>
      <w:ind w:left="100"/>
      <w:outlineLvl w:val="1"/>
    </w:pPr>
    <w:rPr>
      <w:rFonts w:ascii="Verdana" w:hAnsi="Verdana" w:eastAsia="Verdana" w:cs="Verdana"/>
      <w:sz w:val="56"/>
      <w:szCs w:val="56"/>
    </w:rPr>
  </w:style>
  <w:style w:styleId="Heading2" w:type="paragraph">
    <w:name w:val="Heading 2"/>
    <w:basedOn w:val="Normal"/>
    <w:uiPriority w:val="1"/>
    <w:qFormat/>
    <w:pPr>
      <w:spacing w:before="101"/>
      <w:ind w:left="100"/>
      <w:jc w:val="both"/>
      <w:outlineLvl w:val="2"/>
    </w:pPr>
    <w:rPr>
      <w:rFonts w:ascii="Verdana" w:hAnsi="Verdana" w:eastAsia="Verdana" w:cs="Verdana"/>
      <w:sz w:val="48"/>
      <w:szCs w:val="48"/>
    </w:rPr>
  </w:style>
  <w:style w:styleId="Heading3" w:type="paragraph">
    <w:name w:val="Heading 3"/>
    <w:basedOn w:val="Normal"/>
    <w:uiPriority w:val="1"/>
    <w:qFormat/>
    <w:pPr>
      <w:spacing w:before="167"/>
      <w:ind w:left="100"/>
      <w:jc w:val="both"/>
      <w:outlineLvl w:val="3"/>
    </w:pPr>
    <w:rPr>
      <w:rFonts w:ascii="Verdana" w:hAnsi="Verdana" w:eastAsia="Verdana" w:cs="Verdana"/>
      <w:b/>
      <w:bCs/>
      <w:sz w:val="32"/>
      <w:szCs w:val="32"/>
    </w:rPr>
  </w:style>
  <w:style w:styleId="Heading4" w:type="paragraph">
    <w:name w:val="Heading 4"/>
    <w:basedOn w:val="Normal"/>
    <w:uiPriority w:val="1"/>
    <w:qFormat/>
    <w:pPr>
      <w:spacing w:before="132"/>
      <w:ind w:left="100"/>
      <w:jc w:val="both"/>
      <w:outlineLvl w:val="4"/>
    </w:pPr>
    <w:rPr>
      <w:rFonts w:ascii="Trebuchet MS" w:hAnsi="Trebuchet MS" w:eastAsia="Trebuchet MS" w:cs="Trebuchet MS"/>
      <w:b/>
      <w:bCs/>
      <w:sz w:val="28"/>
      <w:szCs w:val="28"/>
    </w:rPr>
  </w:style>
  <w:style w:styleId="Heading5" w:type="paragraph">
    <w:name w:val="Heading 5"/>
    <w:basedOn w:val="Normal"/>
    <w:uiPriority w:val="1"/>
    <w:qFormat/>
    <w:pPr>
      <w:ind w:left="100"/>
      <w:jc w:val="both"/>
      <w:outlineLvl w:val="5"/>
    </w:pPr>
    <w:rPr>
      <w:rFonts w:ascii="Trebuchet MS" w:hAnsi="Trebuchet MS" w:eastAsia="Trebuchet MS" w:cs="Trebuchet MS"/>
      <w:sz w:val="28"/>
      <w:szCs w:val="28"/>
    </w:rPr>
  </w:style>
  <w:style w:styleId="ListParagraph" w:type="paragraph">
    <w:name w:val="List Paragraph"/>
    <w:basedOn w:val="Normal"/>
    <w:uiPriority w:val="1"/>
    <w:qFormat/>
    <w:pPr>
      <w:ind w:left="820" w:hanging="360"/>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2018-11-25T17:58:52Z</dcterms:created>
  <dcterms:modified xsi:type="dcterms:W3CDTF">2018-11-25T17:58:52Z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2018-11-25T00:00:00Z</vt:filetime>
  </property>
  <property fmtid="{D5CDD505-2E9C-101B-9397-08002B2CF9AE}" pid="3" name="Creator">
    <vt:lpwstr>PDFium</vt:lpwstr>
  </property>
  <property fmtid="{D5CDD505-2E9C-101B-9397-08002B2CF9AE}" pid="4" name="LastSaved">
    <vt:filetime>2018-11-25T00:00:00Z</vt:filetime>
  </property>
</Properties>
</file>