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Override PartName="/word/header2.xml" ContentType="application/vnd.openxmlformats-officedocument.wordprocessingml.head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rect style="position:absolute;margin-left:0pt;margin-top:458.449005pt;width:612pt;height:8.1pt;mso-position-horizontal-relative:page;mso-position-vertical-relative:page;z-index:-18088" filled="true" fillcolor="#f9a01b"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pStyle w:val="BodyText"/>
        <w:ind w:left="3104"/>
        <w:rPr>
          <w:sz w:val="20"/>
        </w:rPr>
      </w:pPr>
      <w:r>
        <w:rPr>
          <w:sz w:val="20"/>
        </w:rPr>
        <w:drawing>
          <wp:inline distT="0" distB="0" distL="0" distR="0">
            <wp:extent cx="3138020" cy="1299210"/>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3138020" cy="1299210"/>
                    </a:xfrm>
                    <a:prstGeom prst="rect">
                      <a:avLst/>
                    </a:prstGeom>
                  </pic:spPr>
                </pic:pic>
              </a:graphicData>
            </a:graphic>
          </wp:inline>
        </w:drawing>
      </w:r>
      <w:r>
        <w:rPr>
          <w:sz w:val="20"/>
        </w:rPr>
      </w:r>
    </w:p>
    <w:p>
      <w:pPr>
        <w:pStyle w:val="BodyText"/>
        <w:rPr>
          <w:sz w:val="20"/>
        </w:rPr>
      </w:pPr>
    </w:p>
    <w:p>
      <w:pPr>
        <w:pStyle w:val="BodyText"/>
        <w:spacing w:before="5"/>
        <w:rPr>
          <w:sz w:val="29"/>
        </w:rPr>
      </w:pPr>
    </w:p>
    <w:p>
      <w:pPr>
        <w:spacing w:before="104"/>
        <w:ind w:left="95" w:right="0" w:firstLine="0"/>
        <w:jc w:val="center"/>
        <w:rPr>
          <w:rFonts w:ascii="Myriad Pro"/>
          <w:sz w:val="86"/>
        </w:rPr>
      </w:pPr>
      <w:r>
        <w:rPr>
          <w:rFonts w:ascii="Myriad Pro"/>
          <w:color w:val="006345"/>
          <w:sz w:val="86"/>
        </w:rPr>
        <w:t>DRAFT Loudoun 2040</w:t>
      </w:r>
    </w:p>
    <w:p>
      <w:pPr>
        <w:tabs>
          <w:tab w:pos="6149" w:val="left" w:leader="none"/>
        </w:tabs>
        <w:spacing w:before="3"/>
        <w:ind w:left="95" w:right="0" w:firstLine="0"/>
        <w:jc w:val="center"/>
        <w:rPr>
          <w:rFonts w:ascii="Myriad Pro"/>
          <w:sz w:val="86"/>
        </w:rPr>
      </w:pPr>
      <w:r>
        <w:rPr>
          <w:rFonts w:ascii="Myriad Pro"/>
          <w:color w:val="006345"/>
          <w:sz w:val="86"/>
        </w:rPr>
        <w:t>Comprehensive</w:t>
        <w:tab/>
        <w:t>Plan</w:t>
      </w:r>
    </w:p>
    <w:p>
      <w:pPr>
        <w:spacing w:after="0"/>
        <w:jc w:val="center"/>
        <w:rPr>
          <w:rFonts w:ascii="Myriad Pro"/>
          <w:sz w:val="86"/>
        </w:rPr>
        <w:sectPr>
          <w:headerReference w:type="default" r:id="rId5"/>
          <w:footerReference w:type="default" r:id="rId6"/>
          <w:type w:val="continuous"/>
          <w:pgSz w:w="12240" w:h="15840"/>
          <w:pgMar w:header="0" w:footer="1268" w:top="1540" w:bottom="1460" w:left="600" w:right="600"/>
        </w:sectPr>
      </w:pPr>
    </w:p>
    <w:p>
      <w:pPr>
        <w:pStyle w:val="BodyText"/>
        <w:rPr>
          <w:rFonts w:ascii="Myriad Pro"/>
          <w:sz w:val="20"/>
        </w:rPr>
      </w:pPr>
      <w:r>
        <w:rPr/>
        <w:pict>
          <v:rect style="position:absolute;margin-left:0pt;margin-top:458.449005pt;width:612pt;height:8.1pt;mso-position-horizontal-relative:page;mso-position-vertical-relative:page;z-index:-18064" filled="true" fillcolor="#f9a01b" stroked="false">
            <v:fill type="solid"/>
            <w10:wrap type="none"/>
          </v:rect>
        </w:pict>
      </w: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rPr>
          <w:rFonts w:ascii="Myriad Pro"/>
          <w:sz w:val="20"/>
        </w:rPr>
      </w:pPr>
    </w:p>
    <w:p>
      <w:pPr>
        <w:pStyle w:val="BodyText"/>
        <w:spacing w:before="2"/>
        <w:rPr>
          <w:rFonts w:ascii="Myriad Pro"/>
          <w:sz w:val="20"/>
        </w:rPr>
      </w:pPr>
    </w:p>
    <w:p>
      <w:pPr>
        <w:pStyle w:val="BodyText"/>
        <w:ind w:left="3104"/>
        <w:rPr>
          <w:rFonts w:ascii="Myriad Pro"/>
          <w:sz w:val="20"/>
        </w:rPr>
      </w:pPr>
      <w:r>
        <w:rPr>
          <w:rFonts w:ascii="Myriad Pro"/>
          <w:sz w:val="20"/>
        </w:rPr>
        <w:drawing>
          <wp:inline distT="0" distB="0" distL="0" distR="0">
            <wp:extent cx="3138020" cy="1299210"/>
            <wp:effectExtent l="0" t="0" r="0" b="0"/>
            <wp:docPr id="3" name="image1.jpeg" descr=""/>
            <wp:cNvGraphicFramePr>
              <a:graphicFrameLocks noChangeAspect="1"/>
            </wp:cNvGraphicFramePr>
            <a:graphic>
              <a:graphicData uri="http://schemas.openxmlformats.org/drawingml/2006/picture">
                <pic:pic>
                  <pic:nvPicPr>
                    <pic:cNvPr id="4" name="image1.jpeg"/>
                    <pic:cNvPicPr/>
                  </pic:nvPicPr>
                  <pic:blipFill>
                    <a:blip r:embed="rId7" cstate="print"/>
                    <a:stretch>
                      <a:fillRect/>
                    </a:stretch>
                  </pic:blipFill>
                  <pic:spPr>
                    <a:xfrm>
                      <a:off x="0" y="0"/>
                      <a:ext cx="3138020" cy="1299210"/>
                    </a:xfrm>
                    <a:prstGeom prst="rect">
                      <a:avLst/>
                    </a:prstGeom>
                  </pic:spPr>
                </pic:pic>
              </a:graphicData>
            </a:graphic>
          </wp:inline>
        </w:drawing>
      </w:r>
      <w:r>
        <w:rPr>
          <w:rFonts w:ascii="Myriad Pro"/>
          <w:sz w:val="20"/>
        </w:rPr>
      </w:r>
    </w:p>
    <w:p>
      <w:pPr>
        <w:pStyle w:val="BodyText"/>
        <w:rPr>
          <w:rFonts w:ascii="Myriad Pro"/>
          <w:sz w:val="20"/>
        </w:rPr>
      </w:pPr>
    </w:p>
    <w:p>
      <w:pPr>
        <w:pStyle w:val="BodyText"/>
        <w:spacing w:before="1"/>
        <w:rPr>
          <w:rFonts w:ascii="Myriad Pro"/>
          <w:sz w:val="27"/>
        </w:rPr>
      </w:pPr>
    </w:p>
    <w:p>
      <w:pPr>
        <w:spacing w:line="240" w:lineRule="auto" w:before="104"/>
        <w:ind w:left="3247" w:right="0" w:hanging="1641"/>
        <w:jc w:val="left"/>
        <w:rPr>
          <w:rFonts w:ascii="Myriad Pro"/>
          <w:sz w:val="86"/>
        </w:rPr>
      </w:pPr>
      <w:r>
        <w:rPr>
          <w:rFonts w:ascii="Myriad Pro"/>
          <w:color w:val="006345"/>
          <w:sz w:val="86"/>
        </w:rPr>
        <w:t>DRAFT Loudoun 2040 General Plan</w:t>
      </w:r>
    </w:p>
    <w:p>
      <w:pPr>
        <w:spacing w:after="0" w:line="240" w:lineRule="auto"/>
        <w:jc w:val="left"/>
        <w:rPr>
          <w:rFonts w:ascii="Myriad Pro"/>
          <w:sz w:val="86"/>
        </w:rPr>
        <w:sectPr>
          <w:pgSz w:w="12240" w:h="15840"/>
          <w:pgMar w:header="0" w:footer="1268" w:top="1540" w:bottom="1460" w:left="600" w:right="600"/>
        </w:sectPr>
      </w:pPr>
    </w:p>
    <w:p>
      <w:pPr>
        <w:pStyle w:val="BodyText"/>
        <w:rPr>
          <w:rFonts w:ascii="Myriad Pro"/>
          <w:sz w:val="20"/>
        </w:rPr>
      </w:pPr>
    </w:p>
    <w:p>
      <w:pPr>
        <w:spacing w:before="259"/>
        <w:ind w:left="840" w:right="0" w:firstLine="0"/>
        <w:jc w:val="left"/>
        <w:rPr>
          <w:rFonts w:ascii="Verdana"/>
          <w:sz w:val="56"/>
        </w:rPr>
      </w:pPr>
      <w:r>
        <w:rPr>
          <w:rFonts w:ascii="Verdana"/>
          <w:color w:val="396230"/>
          <w:sz w:val="56"/>
        </w:rPr>
        <w:t>Chapter 1 -</w:t>
      </w:r>
      <w:r>
        <w:rPr>
          <w:rFonts w:ascii="Verdana"/>
          <w:color w:val="396230"/>
          <w:spacing w:val="-150"/>
          <w:sz w:val="56"/>
        </w:rPr>
        <w:t> </w:t>
      </w:r>
      <w:r>
        <w:rPr>
          <w:rFonts w:ascii="Verdana"/>
          <w:color w:val="396230"/>
          <w:sz w:val="56"/>
        </w:rPr>
        <w:t>Introduction</w:t>
      </w:r>
    </w:p>
    <w:p>
      <w:pPr>
        <w:spacing w:before="303"/>
        <w:ind w:left="840" w:right="0" w:firstLine="0"/>
        <w:jc w:val="left"/>
        <w:rPr>
          <w:rFonts w:ascii="Calibri"/>
          <w:sz w:val="36"/>
        </w:rPr>
      </w:pPr>
      <w:r>
        <w:rPr>
          <w:rFonts w:ascii="Calibri"/>
          <w:color w:val="1B577B"/>
          <w:sz w:val="36"/>
        </w:rPr>
        <w:t>Table of Contents</w:t>
      </w:r>
    </w:p>
    <w:sdt>
      <w:sdtPr>
        <w:docPartObj>
          <w:docPartGallery w:val="Table of Contents"/>
          <w:docPartUnique/>
        </w:docPartObj>
      </w:sdtPr>
      <w:sdtEndPr/>
      <w:sdtContent>
        <w:p>
          <w:pPr>
            <w:pStyle w:val="TOC1"/>
            <w:tabs>
              <w:tab w:pos="10192" w:val="right" w:leader="dot"/>
            </w:tabs>
            <w:spacing w:before="24"/>
          </w:pPr>
          <w:hyperlink w:history="true" w:anchor="_TOC_250005">
            <w:r>
              <w:rPr/>
              <w:t>Purpose</w:t>
            </w:r>
            <w:r>
              <w:rPr>
                <w:spacing w:val="-3"/>
              </w:rPr>
              <w:t> </w:t>
            </w:r>
            <w:r>
              <w:rPr/>
              <w:t>and</w:t>
            </w:r>
            <w:r>
              <w:rPr>
                <w:spacing w:val="-1"/>
              </w:rPr>
              <w:t> </w:t>
            </w:r>
            <w:r>
              <w:rPr/>
              <w:t>Definition</w:t>
              <w:tab/>
              <w:t>3</w:t>
            </w:r>
          </w:hyperlink>
        </w:p>
        <w:p>
          <w:pPr>
            <w:pStyle w:val="TOC1"/>
            <w:tabs>
              <w:tab w:pos="10192" w:val="right" w:leader="dot"/>
            </w:tabs>
          </w:pPr>
          <w:hyperlink w:history="true" w:anchor="_TOC_250004">
            <w:r>
              <w:rPr/>
              <w:t>Loudoun County’s</w:t>
            </w:r>
            <w:r>
              <w:rPr>
                <w:spacing w:val="-1"/>
              </w:rPr>
              <w:t> </w:t>
            </w:r>
            <w:r>
              <w:rPr/>
              <w:t>Planning</w:t>
            </w:r>
            <w:r>
              <w:rPr>
                <w:spacing w:val="-3"/>
              </w:rPr>
              <w:t> </w:t>
            </w:r>
            <w:r>
              <w:rPr/>
              <w:t>Approach</w:t>
              <w:tab/>
              <w:t>3</w:t>
            </w:r>
          </w:hyperlink>
        </w:p>
        <w:p>
          <w:pPr>
            <w:pStyle w:val="TOC1"/>
            <w:tabs>
              <w:tab w:pos="10192" w:val="right" w:leader="dot"/>
            </w:tabs>
            <w:spacing w:before="122"/>
          </w:pPr>
          <w:r>
            <w:rPr/>
            <w:pict>
              <v:shape style="position:absolute;margin-left:90.066002pt;margin-top:8.433091pt;width:395.3pt;height:419pt;mso-position-horizontal-relative:page;mso-position-vertical-relative:paragraph;z-index:-18040" coordorigin="1801,169" coordsize="7906,8380" path="m4498,7432l4492,7359,4477,7281,4455,7198,4432,7129,4402,7057,4367,6982,4325,6904,4276,6823,4236,6764,4200,6713,4200,7399,4197,7455,4185,7512,4167,7570,4138,7629,4097,7692,4044,7758,3979,7827,3674,8133,2216,6675,2517,6374,2598,6298,2672,6238,2740,6195,2801,6168,2868,6154,2941,6150,3020,6157,3105,6175,3195,6204,3255,6229,3317,6262,3380,6300,3446,6345,3514,6397,3584,6455,3656,6520,3729,6591,3789,6652,3844,6713,3896,6772,3943,6830,3986,6886,4024,6941,4059,6995,4101,7070,4136,7142,4163,7212,4183,7279,4196,7343,4200,7399,4200,6713,4194,6705,4148,6645,4098,6584,4045,6523,3989,6462,3929,6400,3865,6338,3801,6279,3737,6224,3673,6173,3643,6150,3609,6125,3546,6080,3482,6039,3419,6001,3346,5963,3274,5931,3203,5904,3132,5882,3062,5865,2992,5853,2923,5846,2850,5844,2779,5851,2709,5866,2642,5889,2577,5919,2528,5947,2476,5984,2420,6030,2359,6084,2294,6146,1801,6640,3710,8548,4124,8133,4226,8031,4287,7966,4341,7901,4386,7835,4424,7768,4454,7702,4476,7635,4491,7569,4498,7501,4498,7432m6418,5839l6056,5712,5650,5569,5561,5540,5475,5516,5393,5497,5364,5491,5314,5482,5239,5472,5193,5470,5143,5474,5089,5481,5030,5491,5074,5422,5109,5352,5136,5283,5154,5214,5164,5146,5165,5077,5157,5010,5139,4932,5111,4855,5075,4781,5030,4708,4976,4637,4956,4615,4913,4569,4872,4531,4872,5088,4868,5144,4854,5198,4830,5255,4794,5313,4747,5374,4687,5438,4413,5712,4280,5845,3649,5214,4102,4761,4166,4704,4229,4661,4293,4631,4358,4616,4422,4615,4501,4630,4577,4660,4649,4704,4718,4764,4761,4812,4797,4862,4827,4916,4851,4973,4867,5031,4872,5088,4872,4531,4849,4509,4782,4457,4713,4411,4641,4373,4566,4341,4474,4312,4386,4300,4303,4302,4225,4317,4163,4342,4098,4379,4030,4427,3958,4487,3883,4558,3248,5192,5157,7101,5346,6911,4499,6064,4718,5845,4753,5811,4783,5783,4810,5762,4833,5748,4863,5734,4896,5723,4932,5716,4971,5712,5014,5712,5066,5717,5125,5727,5194,5744,5256,5761,5328,5782,5407,5807,5496,5836,6180,6077,6418,5839m7780,4477l7415,4282,6555,3828,6555,4135,6070,4620,5989,4477,5748,4046,5708,3975,5668,3903,5629,3838,5590,3773,5550,3709,5509,3646,5467,3584,5424,3522,5380,3461,5436,3497,5498,3535,5564,3575,5635,3617,5792,3707,6555,4135,6555,3828,5862,3461,5286,3155,5082,3359,5277,3709,5316,3779,5701,4477,6168,5326,6441,5817,6642,5615,6565,5482,6298,5014,6221,4880,6481,4620,6820,4282,7565,4693,7780,4477m8131,4126l7264,3260,7489,3034,7936,2588,7711,2362,7039,3034,6448,2443,7224,1667,6999,1442,6033,2408,7941,4316,8131,4126m9707,2550l8213,1057,8024,867,8497,394,8272,169,7138,1303,7363,1528,7834,1057,9517,2740,9707,2550e" filled="true" fillcolor="#c0c0c0" stroked="false">
                <v:path arrowok="t"/>
                <v:fill opacity="32896f" type="solid"/>
                <w10:wrap type="none"/>
              </v:shape>
            </w:pict>
          </w:r>
          <w:hyperlink w:history="true" w:anchor="_TOC_250003">
            <w:r>
              <w:rPr/>
              <w:t>Loudoun County: Trends</w:t>
            </w:r>
            <w:r>
              <w:rPr>
                <w:spacing w:val="0"/>
              </w:rPr>
              <w:t> </w:t>
            </w:r>
            <w:r>
              <w:rPr/>
              <w:t>and</w:t>
            </w:r>
            <w:r>
              <w:rPr>
                <w:spacing w:val="0"/>
              </w:rPr>
              <w:t> </w:t>
            </w:r>
            <w:r>
              <w:rPr/>
              <w:t>Influences</w:t>
              <w:tab/>
              <w:t>6</w:t>
            </w:r>
          </w:hyperlink>
        </w:p>
        <w:p>
          <w:pPr>
            <w:pStyle w:val="TOC1"/>
            <w:tabs>
              <w:tab w:pos="10192" w:val="right" w:leader="dot"/>
            </w:tabs>
          </w:pPr>
          <w:hyperlink w:history="true" w:anchor="_TOC_250002">
            <w:r>
              <w:rPr/>
              <w:t>Elements of Loudoun</w:t>
            </w:r>
            <w:r>
              <w:rPr>
                <w:spacing w:val="-1"/>
              </w:rPr>
              <w:t> </w:t>
            </w:r>
            <w:r>
              <w:rPr/>
              <w:t>2040</w:t>
              <w:tab/>
              <w:t>8</w:t>
            </w:r>
          </w:hyperlink>
        </w:p>
        <w:p>
          <w:pPr>
            <w:pStyle w:val="TOC1"/>
            <w:tabs>
              <w:tab w:pos="10192" w:val="right" w:leader="dot"/>
            </w:tabs>
            <w:spacing w:before="120"/>
          </w:pPr>
          <w:hyperlink w:history="true" w:anchor="_TOC_250001">
            <w:r>
              <w:rPr/>
              <w:t>Policy and</w:t>
            </w:r>
            <w:r>
              <w:rPr>
                <w:spacing w:val="-5"/>
              </w:rPr>
              <w:t> </w:t>
            </w:r>
            <w:r>
              <w:rPr/>
              <w:t>Regulatory</w:t>
            </w:r>
            <w:r>
              <w:rPr>
                <w:spacing w:val="-5"/>
              </w:rPr>
              <w:t> </w:t>
            </w:r>
            <w:r>
              <w:rPr/>
              <w:t>Context</w:t>
              <w:tab/>
              <w:t>9</w:t>
            </w:r>
          </w:hyperlink>
        </w:p>
        <w:p>
          <w:pPr>
            <w:pStyle w:val="TOC1"/>
            <w:tabs>
              <w:tab w:pos="10192" w:val="right" w:leader="dot"/>
            </w:tabs>
          </w:pPr>
          <w:hyperlink w:history="true" w:anchor="_TOC_250000">
            <w:r>
              <w:rPr/>
              <w:t>Reference</w:t>
            </w:r>
            <w:r>
              <w:rPr>
                <w:spacing w:val="-2"/>
              </w:rPr>
              <w:t> </w:t>
            </w:r>
            <w:r>
              <w:rPr/>
              <w:t>Maps</w:t>
              <w:tab/>
              <w:t>10</w:t>
            </w:r>
          </w:hyperlink>
        </w:p>
      </w:sdtContent>
    </w:sdt>
    <w:p>
      <w:pPr>
        <w:spacing w:after="0"/>
        <w:sectPr>
          <w:headerReference w:type="default" r:id="rId8"/>
          <w:footerReference w:type="default" r:id="rId9"/>
          <w:pgSz w:w="12240" w:h="15840"/>
          <w:pgMar w:header="719" w:footer="1016" w:top="920" w:bottom="1200" w:left="600" w:right="600"/>
          <w:pgNumType w:start="1"/>
        </w:sectPr>
      </w:pPr>
    </w:p>
    <w:p>
      <w:pPr>
        <w:spacing w:before="499"/>
        <w:ind w:left="840" w:right="0" w:firstLine="0"/>
        <w:jc w:val="left"/>
        <w:rPr>
          <w:rFonts w:ascii="Verdana"/>
          <w:sz w:val="56"/>
        </w:rPr>
      </w:pPr>
      <w:r>
        <w:rPr>
          <w:rFonts w:ascii="Verdana"/>
          <w:color w:val="396230"/>
          <w:sz w:val="56"/>
        </w:rPr>
        <w:t>Chapter 1 -</w:t>
      </w:r>
      <w:r>
        <w:rPr>
          <w:rFonts w:ascii="Verdana"/>
          <w:color w:val="396230"/>
          <w:spacing w:val="-150"/>
          <w:sz w:val="56"/>
        </w:rPr>
        <w:t> </w:t>
      </w:r>
      <w:r>
        <w:rPr>
          <w:rFonts w:ascii="Verdana"/>
          <w:color w:val="396230"/>
          <w:sz w:val="56"/>
        </w:rPr>
        <w:t>Introduction</w:t>
      </w:r>
    </w:p>
    <w:p>
      <w:pPr>
        <w:pStyle w:val="BodyText"/>
        <w:spacing w:line="259" w:lineRule="auto" w:before="57"/>
        <w:ind w:left="840" w:right="835"/>
        <w:jc w:val="both"/>
      </w:pPr>
      <w:r>
        <w:rPr/>
        <w:pict>
          <v:group style="position:absolute;margin-left:71.625pt;margin-top:80.543106pt;width:467.3pt;height:530.950pt;mso-position-horizontal-relative:page;mso-position-vertical-relative:paragraph;z-index:-18016" coordorigin="1433,1611" coordsize="9346,10619">
            <v:shape style="position:absolute;left:1801;top:1610;width:7906;height:8380" coordorigin="1801,1611" coordsize="7906,8380" path="m4498,8875l4492,8801,4477,8723,4455,8640,4432,8571,4402,8499,4367,8424,4325,8346,4276,8265,4236,8206,4200,8156,4200,8841,4197,8898,4185,8954,4167,9012,4138,9072,4097,9134,4044,9200,3979,9270,3674,9575,2216,8117,2517,7817,2598,7741,2672,7681,2740,7637,2801,7611,2868,7596,2941,7592,3020,7599,3105,7617,3195,7646,3255,7672,3317,7704,3380,7742,3446,7787,3514,7839,3584,7897,3656,7962,3729,8033,3789,8095,3844,8155,3896,8214,3943,8272,3986,8328,4024,8384,4059,8437,4101,8512,4136,8584,4163,8654,4183,8721,4196,8785,4200,8841,4200,8156,4194,8147,4148,8087,4098,8026,4045,7965,3989,7904,3929,7842,3865,7780,3801,7721,3737,7666,3673,7615,3643,7592,3609,7567,3546,7522,3482,7481,3419,7443,3346,7406,3274,7373,3203,7346,3132,7324,3062,7307,2992,7295,2923,7288,2850,7286,2779,7293,2709,7308,2642,7331,2577,7361,2528,7389,2476,7426,2420,7472,2359,7526,2294,7589,1801,8082,3710,9990,4124,9575,4226,9473,4287,9408,4341,9343,4386,9277,4424,9210,4454,9144,4476,9078,4491,9011,4498,8943,4498,8875m6418,7281l6056,7154,5650,7011,5561,6982,5475,6958,5393,6939,5364,6933,5314,6924,5239,6914,5193,6913,5143,6916,5089,6923,5030,6933,5074,6864,5109,6794,5136,6725,5154,6656,5164,6588,5165,6520,5157,6452,5139,6374,5111,6298,5075,6223,5030,6150,4976,6080,4956,6057,4913,6011,4872,5973,4872,6530,4868,6586,4854,6641,4830,6697,4794,6756,4747,6817,4687,6880,4413,7154,4280,7287,3649,6656,4102,6203,4166,6146,4229,6103,4293,6073,4358,6058,4422,6057,4501,6072,4577,6102,4649,6147,4718,6206,4761,6254,4797,6305,4827,6358,4851,6415,4867,6473,4872,6530,4872,5973,4849,5951,4782,5899,4713,5854,4641,5815,4566,5783,4474,5755,4386,5742,4303,5744,4225,5760,4163,5785,4098,5821,4030,5869,3958,5929,3883,6000,3248,6635,5157,8543,5346,8353,4499,7506,4718,7287,4753,7253,4783,7225,4810,7204,4833,7190,4863,7176,4896,7166,4932,7158,4971,7154,5014,7154,5066,7159,5125,7169,5194,7186,5256,7203,5328,7224,5407,7249,5496,7278,6180,7519,6418,7281m7780,5919l7415,5724,6555,5270,6555,5577,6070,6062,5989,5919,5748,5488,5708,5417,5668,5345,5629,5280,5590,5215,5550,5151,5509,5088,5467,5026,5424,4964,5380,4904,5436,4939,5498,4977,5564,5017,5635,5059,5792,5150,6555,5577,6555,5270,5862,4904,5286,4597,5082,4801,5277,5151,5316,5222,5701,5919,6168,6768,6441,7259,6642,7058,6565,6924,6298,6456,6221,6322,6481,6062,6820,5724,7565,6135,7780,5919m8131,5569l7264,4702,7489,4476,7936,4030,7711,3805,7039,4476,6448,3886,7224,3109,6999,2884,6033,3850,7941,5758,8131,5569m9707,3993l8213,2499,8024,2310,8497,1836,8272,1611,7138,2745,7363,2971,7834,2499,9517,4182,9707,3993e" filled="true" fillcolor="#c0c0c0" stroked="false">
              <v:path arrowok="t"/>
              <v:fill opacity="32896f" type="solid"/>
            </v:shape>
            <v:rect style="position:absolute;left:1440;top:2235;width:9331;height:9986" filled="true" fillcolor="#f1f1f1" stroked="false">
              <v:fill type="solid"/>
            </v:rect>
            <v:rect style="position:absolute;left:1440;top:2235;width:9331;height:9986" filled="false" stroked="true" strokeweight=".75pt" strokecolor="#000000">
              <v:stroke dashstyle="solid"/>
            </v:rect>
            <v:shape style="position:absolute;left:1591;top:2930;width:3600;height:1544" type="#_x0000_t75" stroked="false">
              <v:imagedata r:id="rId10" o:title=""/>
            </v:shape>
            <v:shape style="position:absolute;left:5191;top:2314;width:5400;height:2157" type="#_x0000_t75" stroked="false">
              <v:imagedata r:id="rId11" o:title=""/>
            </v:shape>
            <w10:wrap type="none"/>
          </v:group>
        </w:pict>
      </w:r>
      <w:r>
        <w:rPr/>
        <w:t>The </w:t>
      </w:r>
      <w:r>
        <w:rPr>
          <w:i/>
        </w:rPr>
        <w:t>Loudoun 2040 Comprehensive Plan </w:t>
      </w:r>
      <w:r>
        <w:rPr/>
        <w:t>(</w:t>
      </w:r>
      <w:r>
        <w:rPr>
          <w:i/>
        </w:rPr>
        <w:t>Loudoun 2040</w:t>
      </w:r>
      <w:r>
        <w:rPr/>
        <w:t>) is the culmination of a collaborative multiyear effort and an unprecedented public outreach campaign that brought together</w:t>
      </w:r>
      <w:r>
        <w:rPr>
          <w:spacing w:val="-32"/>
        </w:rPr>
        <w:t> </w:t>
      </w:r>
      <w:r>
        <w:rPr/>
        <w:t>Loudoun’s citizens, elected and appointed officials, stakeholders, and County staff to create a new comprehensive</w:t>
      </w:r>
      <w:r>
        <w:rPr>
          <w:spacing w:val="-12"/>
        </w:rPr>
        <w:t> </w:t>
      </w:r>
      <w:r>
        <w:rPr/>
        <w:t>plan</w:t>
      </w:r>
      <w:r>
        <w:rPr>
          <w:spacing w:val="-14"/>
        </w:rPr>
        <w:t> </w:t>
      </w:r>
      <w:r>
        <w:rPr/>
        <w:t>for</w:t>
      </w:r>
      <w:r>
        <w:rPr>
          <w:spacing w:val="-14"/>
        </w:rPr>
        <w:t> </w:t>
      </w:r>
      <w:r>
        <w:rPr/>
        <w:t>the</w:t>
      </w:r>
      <w:r>
        <w:rPr>
          <w:spacing w:val="-14"/>
        </w:rPr>
        <w:t> </w:t>
      </w:r>
      <w:r>
        <w:rPr/>
        <w:t>County.</w:t>
      </w:r>
      <w:r>
        <w:rPr>
          <w:spacing w:val="-13"/>
        </w:rPr>
        <w:t> </w:t>
      </w:r>
      <w:r>
        <w:rPr/>
        <w:t>This</w:t>
      </w:r>
      <w:r>
        <w:rPr>
          <w:spacing w:val="-13"/>
        </w:rPr>
        <w:t> </w:t>
      </w:r>
      <w:r>
        <w:rPr/>
        <w:t>planning</w:t>
      </w:r>
      <w:r>
        <w:rPr>
          <w:spacing w:val="-13"/>
        </w:rPr>
        <w:t> </w:t>
      </w:r>
      <w:r>
        <w:rPr/>
        <w:t>process,</w:t>
      </w:r>
      <w:r>
        <w:rPr>
          <w:spacing w:val="-13"/>
        </w:rPr>
        <w:t> </w:t>
      </w:r>
      <w:r>
        <w:rPr/>
        <w:t>known</w:t>
      </w:r>
      <w:r>
        <w:rPr>
          <w:spacing w:val="-12"/>
        </w:rPr>
        <w:t> </w:t>
      </w:r>
      <w:r>
        <w:rPr/>
        <w:t>as</w:t>
      </w:r>
      <w:r>
        <w:rPr>
          <w:spacing w:val="-12"/>
        </w:rPr>
        <w:t> </w:t>
      </w:r>
      <w:r>
        <w:rPr>
          <w:i/>
        </w:rPr>
        <w:t>Envision</w:t>
      </w:r>
      <w:r>
        <w:rPr>
          <w:i/>
          <w:spacing w:val="-13"/>
        </w:rPr>
        <w:t> </w:t>
      </w:r>
      <w:r>
        <w:rPr>
          <w:i/>
        </w:rPr>
        <w:t>Loudoun</w:t>
      </w:r>
      <w:r>
        <w:rPr/>
        <w:t>,</w:t>
      </w:r>
      <w:r>
        <w:rPr>
          <w:spacing w:val="-13"/>
        </w:rPr>
        <w:t> </w:t>
      </w:r>
      <w:r>
        <w:rPr/>
        <w:t>identified the community’s desires for the future of Loudoun County as they relate to growth management, land use, transportation, natural and heritage resources, community facilities and amenities, economic development, and fiscal</w:t>
      </w:r>
      <w:r>
        <w:rPr>
          <w:spacing w:val="-2"/>
        </w:rPr>
        <w:t> </w:t>
      </w:r>
      <w:r>
        <w:rPr/>
        <w:t>management.</w: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1"/>
        <w:rPr>
          <w:sz w:val="47"/>
        </w:rPr>
      </w:pPr>
    </w:p>
    <w:p>
      <w:pPr>
        <w:pStyle w:val="Heading2"/>
        <w:spacing w:line="319" w:lineRule="exact" w:before="0"/>
        <w:ind w:left="95" w:right="117"/>
        <w:jc w:val="center"/>
      </w:pPr>
      <w:r>
        <w:rPr/>
        <w:t>Vision:</w:t>
      </w:r>
    </w:p>
    <w:p>
      <w:pPr>
        <w:pStyle w:val="BodyText"/>
        <w:spacing w:line="230" w:lineRule="auto" w:before="4"/>
        <w:ind w:left="1010" w:right="1034"/>
        <w:jc w:val="center"/>
        <w:rPr>
          <w:rFonts w:ascii="Tahoma" w:hAnsi="Tahoma"/>
        </w:rPr>
      </w:pPr>
      <w:r>
        <w:rPr>
          <w:rFonts w:ascii="Tahoma" w:hAnsi="Tahoma"/>
          <w:w w:val="95"/>
        </w:rPr>
        <w:t>Loudoun</w:t>
      </w:r>
      <w:r>
        <w:rPr>
          <w:rFonts w:ascii="Tahoma" w:hAnsi="Tahoma"/>
          <w:spacing w:val="-19"/>
          <w:w w:val="95"/>
        </w:rPr>
        <w:t> </w:t>
      </w:r>
      <w:r>
        <w:rPr>
          <w:rFonts w:ascii="Tahoma" w:hAnsi="Tahoma"/>
          <w:w w:val="95"/>
        </w:rPr>
        <w:t>County</w:t>
      </w:r>
      <w:r>
        <w:rPr>
          <w:rFonts w:ascii="Tahoma" w:hAnsi="Tahoma"/>
          <w:spacing w:val="-18"/>
          <w:w w:val="95"/>
        </w:rPr>
        <w:t> </w:t>
      </w:r>
      <w:r>
        <w:rPr>
          <w:rFonts w:ascii="Tahoma" w:hAnsi="Tahoma"/>
          <w:w w:val="95"/>
        </w:rPr>
        <w:t>continues</w:t>
      </w:r>
      <w:r>
        <w:rPr>
          <w:rFonts w:ascii="Tahoma" w:hAnsi="Tahoma"/>
          <w:spacing w:val="-20"/>
          <w:w w:val="95"/>
        </w:rPr>
        <w:t> </w:t>
      </w:r>
      <w:r>
        <w:rPr>
          <w:rFonts w:ascii="Tahoma" w:hAnsi="Tahoma"/>
          <w:w w:val="95"/>
        </w:rPr>
        <w:t>to</w:t>
      </w:r>
      <w:r>
        <w:rPr>
          <w:rFonts w:ascii="Tahoma" w:hAnsi="Tahoma"/>
          <w:spacing w:val="-19"/>
          <w:w w:val="95"/>
        </w:rPr>
        <w:t> </w:t>
      </w:r>
      <w:r>
        <w:rPr>
          <w:rFonts w:ascii="Tahoma" w:hAnsi="Tahoma"/>
          <w:w w:val="95"/>
        </w:rPr>
        <w:t>flourish</w:t>
      </w:r>
      <w:r>
        <w:rPr>
          <w:rFonts w:ascii="Tahoma" w:hAnsi="Tahoma"/>
          <w:spacing w:val="-19"/>
          <w:w w:val="95"/>
        </w:rPr>
        <w:t> </w:t>
      </w:r>
      <w:r>
        <w:rPr>
          <w:rFonts w:ascii="Tahoma" w:hAnsi="Tahoma"/>
          <w:w w:val="95"/>
        </w:rPr>
        <w:t>as</w:t>
      </w:r>
      <w:r>
        <w:rPr>
          <w:rFonts w:ascii="Tahoma" w:hAnsi="Tahoma"/>
          <w:spacing w:val="-20"/>
          <w:w w:val="95"/>
        </w:rPr>
        <w:t> </w:t>
      </w:r>
      <w:r>
        <w:rPr>
          <w:rFonts w:ascii="Tahoma" w:hAnsi="Tahoma"/>
          <w:w w:val="95"/>
        </w:rPr>
        <w:t>a</w:t>
      </w:r>
      <w:r>
        <w:rPr>
          <w:rFonts w:ascii="Tahoma" w:hAnsi="Tahoma"/>
          <w:spacing w:val="-18"/>
          <w:w w:val="95"/>
        </w:rPr>
        <w:t> </w:t>
      </w:r>
      <w:r>
        <w:rPr>
          <w:rFonts w:ascii="Tahoma" w:hAnsi="Tahoma"/>
          <w:w w:val="95"/>
        </w:rPr>
        <w:t>prosperous</w:t>
      </w:r>
      <w:r>
        <w:rPr>
          <w:rFonts w:ascii="Tahoma" w:hAnsi="Tahoma"/>
          <w:spacing w:val="-20"/>
          <w:w w:val="95"/>
        </w:rPr>
        <w:t> </w:t>
      </w:r>
      <w:r>
        <w:rPr>
          <w:rFonts w:ascii="Tahoma" w:hAnsi="Tahoma"/>
          <w:w w:val="95"/>
        </w:rPr>
        <w:t>and</w:t>
      </w:r>
      <w:r>
        <w:rPr>
          <w:rFonts w:ascii="Tahoma" w:hAnsi="Tahoma"/>
          <w:spacing w:val="-19"/>
          <w:w w:val="95"/>
        </w:rPr>
        <w:t> </w:t>
      </w:r>
      <w:r>
        <w:rPr>
          <w:rFonts w:ascii="Tahoma" w:hAnsi="Tahoma"/>
          <w:w w:val="95"/>
        </w:rPr>
        <w:t>inclusive</w:t>
      </w:r>
      <w:r>
        <w:rPr>
          <w:rFonts w:ascii="Tahoma" w:hAnsi="Tahoma"/>
          <w:spacing w:val="-18"/>
          <w:w w:val="95"/>
        </w:rPr>
        <w:t> </w:t>
      </w:r>
      <w:r>
        <w:rPr>
          <w:rFonts w:ascii="Tahoma" w:hAnsi="Tahoma"/>
          <w:w w:val="95"/>
        </w:rPr>
        <w:t>community</w:t>
      </w:r>
      <w:r>
        <w:rPr>
          <w:rFonts w:ascii="Tahoma" w:hAnsi="Tahoma"/>
          <w:spacing w:val="-19"/>
          <w:w w:val="95"/>
        </w:rPr>
        <w:t> </w:t>
      </w:r>
      <w:r>
        <w:rPr>
          <w:rFonts w:ascii="Tahoma" w:hAnsi="Tahoma"/>
          <w:w w:val="95"/>
        </w:rPr>
        <w:t>with</w:t>
      </w:r>
      <w:r>
        <w:rPr>
          <w:rFonts w:ascii="Tahoma" w:hAnsi="Tahoma"/>
          <w:spacing w:val="-19"/>
          <w:w w:val="95"/>
        </w:rPr>
        <w:t> </w:t>
      </w:r>
      <w:r>
        <w:rPr>
          <w:rFonts w:ascii="Tahoma" w:hAnsi="Tahoma"/>
          <w:w w:val="95"/>
        </w:rPr>
        <w:t>a</w:t>
      </w:r>
      <w:r>
        <w:rPr>
          <w:rFonts w:ascii="Tahoma" w:hAnsi="Tahoma"/>
          <w:spacing w:val="-14"/>
          <w:w w:val="95"/>
        </w:rPr>
        <w:t> </w:t>
      </w:r>
      <w:r>
        <w:rPr>
          <w:rFonts w:ascii="Tahoma" w:hAnsi="Tahoma"/>
          <w:w w:val="95"/>
        </w:rPr>
        <w:t>well- </w:t>
      </w:r>
      <w:r>
        <w:rPr>
          <w:rFonts w:ascii="Tahoma" w:hAnsi="Tahoma"/>
        </w:rPr>
        <w:t>deserved</w:t>
      </w:r>
      <w:r>
        <w:rPr>
          <w:rFonts w:ascii="Tahoma" w:hAnsi="Tahoma"/>
          <w:spacing w:val="-48"/>
        </w:rPr>
        <w:t> </w:t>
      </w:r>
      <w:r>
        <w:rPr>
          <w:rFonts w:ascii="Tahoma" w:hAnsi="Tahoma"/>
        </w:rPr>
        <w:t>reputation</w:t>
      </w:r>
      <w:r>
        <w:rPr>
          <w:rFonts w:ascii="Tahoma" w:hAnsi="Tahoma"/>
          <w:spacing w:val="-48"/>
        </w:rPr>
        <w:t> </w:t>
      </w:r>
      <w:r>
        <w:rPr>
          <w:rFonts w:ascii="Tahoma" w:hAnsi="Tahoma"/>
        </w:rPr>
        <w:t>for</w:t>
      </w:r>
      <w:r>
        <w:rPr>
          <w:rFonts w:ascii="Tahoma" w:hAnsi="Tahoma"/>
          <w:spacing w:val="-49"/>
        </w:rPr>
        <w:t> </w:t>
      </w:r>
      <w:r>
        <w:rPr>
          <w:rFonts w:ascii="Tahoma" w:hAnsi="Tahoma"/>
        </w:rPr>
        <w:t>great</w:t>
      </w:r>
      <w:r>
        <w:rPr>
          <w:rFonts w:ascii="Tahoma" w:hAnsi="Tahoma"/>
          <w:spacing w:val="-48"/>
        </w:rPr>
        <w:t> </w:t>
      </w:r>
      <w:r>
        <w:rPr>
          <w:rFonts w:ascii="Tahoma" w:hAnsi="Tahoma"/>
        </w:rPr>
        <w:t>places</w:t>
      </w:r>
      <w:r>
        <w:rPr>
          <w:rFonts w:ascii="Tahoma" w:hAnsi="Tahoma"/>
          <w:spacing w:val="-47"/>
        </w:rPr>
        <w:t> </w:t>
      </w:r>
      <w:r>
        <w:rPr>
          <w:rFonts w:ascii="Tahoma" w:hAnsi="Tahoma"/>
        </w:rPr>
        <w:t>–</w:t>
      </w:r>
      <w:r>
        <w:rPr>
          <w:rFonts w:ascii="Tahoma" w:hAnsi="Tahoma"/>
          <w:spacing w:val="-48"/>
        </w:rPr>
        <w:t> </w:t>
      </w:r>
      <w:r>
        <w:rPr>
          <w:rFonts w:ascii="Tahoma" w:hAnsi="Tahoma"/>
        </w:rPr>
        <w:t>natural</w:t>
      </w:r>
      <w:r>
        <w:rPr>
          <w:rFonts w:ascii="Tahoma" w:hAnsi="Tahoma"/>
          <w:spacing w:val="-49"/>
        </w:rPr>
        <w:t> </w:t>
      </w:r>
      <w:r>
        <w:rPr>
          <w:rFonts w:ascii="Tahoma" w:hAnsi="Tahoma"/>
        </w:rPr>
        <w:t>and</w:t>
      </w:r>
      <w:r>
        <w:rPr>
          <w:rFonts w:ascii="Tahoma" w:hAnsi="Tahoma"/>
          <w:spacing w:val="-48"/>
        </w:rPr>
        <w:t> </w:t>
      </w:r>
      <w:r>
        <w:rPr>
          <w:rFonts w:ascii="Tahoma" w:hAnsi="Tahoma"/>
        </w:rPr>
        <w:t>built,</w:t>
      </w:r>
      <w:r>
        <w:rPr>
          <w:rFonts w:ascii="Tahoma" w:hAnsi="Tahoma"/>
          <w:spacing w:val="-48"/>
        </w:rPr>
        <w:t> </w:t>
      </w:r>
      <w:r>
        <w:rPr>
          <w:rFonts w:ascii="Tahoma" w:hAnsi="Tahoma"/>
        </w:rPr>
        <w:t>as</w:t>
      </w:r>
      <w:r>
        <w:rPr>
          <w:rFonts w:ascii="Tahoma" w:hAnsi="Tahoma"/>
          <w:spacing w:val="-49"/>
        </w:rPr>
        <w:t> </w:t>
      </w:r>
      <w:r>
        <w:rPr>
          <w:rFonts w:ascii="Tahoma" w:hAnsi="Tahoma"/>
        </w:rPr>
        <w:t>well</w:t>
      </w:r>
      <w:r>
        <w:rPr>
          <w:rFonts w:ascii="Tahoma" w:hAnsi="Tahoma"/>
          <w:spacing w:val="-48"/>
        </w:rPr>
        <w:t> </w:t>
      </w:r>
      <w:r>
        <w:rPr>
          <w:rFonts w:ascii="Tahoma" w:hAnsi="Tahoma"/>
        </w:rPr>
        <w:t>as,</w:t>
      </w:r>
      <w:r>
        <w:rPr>
          <w:rFonts w:ascii="Tahoma" w:hAnsi="Tahoma"/>
          <w:spacing w:val="-48"/>
        </w:rPr>
        <w:t> </w:t>
      </w:r>
      <w:r>
        <w:rPr>
          <w:rFonts w:ascii="Tahoma" w:hAnsi="Tahoma"/>
        </w:rPr>
        <w:t>historic</w:t>
      </w:r>
      <w:r>
        <w:rPr>
          <w:rFonts w:ascii="Tahoma" w:hAnsi="Tahoma"/>
          <w:spacing w:val="-48"/>
        </w:rPr>
        <w:t> </w:t>
      </w:r>
      <w:r>
        <w:rPr>
          <w:rFonts w:ascii="Tahoma" w:hAnsi="Tahoma"/>
        </w:rPr>
        <w:t>and</w:t>
      </w:r>
      <w:r>
        <w:rPr>
          <w:rFonts w:ascii="Tahoma" w:hAnsi="Tahoma"/>
          <w:spacing w:val="-48"/>
        </w:rPr>
        <w:t> </w:t>
      </w:r>
      <w:r>
        <w:rPr>
          <w:rFonts w:ascii="Tahoma" w:hAnsi="Tahoma"/>
        </w:rPr>
        <w:t>new</w:t>
      </w:r>
      <w:r>
        <w:rPr>
          <w:rFonts w:ascii="Tahoma" w:hAnsi="Tahoma"/>
          <w:spacing w:val="-47"/>
        </w:rPr>
        <w:t> </w:t>
      </w:r>
      <w:r>
        <w:rPr>
          <w:rFonts w:ascii="Tahoma" w:hAnsi="Tahoma"/>
        </w:rPr>
        <w:t>–</w:t>
      </w:r>
      <w:r>
        <w:rPr>
          <w:rFonts w:ascii="Tahoma" w:hAnsi="Tahoma"/>
          <w:spacing w:val="-49"/>
        </w:rPr>
        <w:t> </w:t>
      </w:r>
      <w:r>
        <w:rPr>
          <w:rFonts w:ascii="Tahoma" w:hAnsi="Tahoma"/>
        </w:rPr>
        <w:t>in</w:t>
      </w:r>
      <w:r>
        <w:rPr>
          <w:rFonts w:ascii="Tahoma" w:hAnsi="Tahoma"/>
          <w:spacing w:val="-48"/>
        </w:rPr>
        <w:t> </w:t>
      </w:r>
      <w:r>
        <w:rPr>
          <w:rFonts w:ascii="Tahoma" w:hAnsi="Tahoma"/>
        </w:rPr>
        <w:t>a variety</w:t>
      </w:r>
      <w:r>
        <w:rPr>
          <w:rFonts w:ascii="Tahoma" w:hAnsi="Tahoma"/>
          <w:spacing w:val="-45"/>
        </w:rPr>
        <w:t> </w:t>
      </w:r>
      <w:r>
        <w:rPr>
          <w:rFonts w:ascii="Tahoma" w:hAnsi="Tahoma"/>
        </w:rPr>
        <w:t>of</w:t>
      </w:r>
      <w:r>
        <w:rPr>
          <w:rFonts w:ascii="Tahoma" w:hAnsi="Tahoma"/>
          <w:spacing w:val="-45"/>
        </w:rPr>
        <w:t> </w:t>
      </w:r>
      <w:r>
        <w:rPr>
          <w:rFonts w:ascii="Tahoma" w:hAnsi="Tahoma"/>
        </w:rPr>
        <w:t>settings.</w:t>
      </w:r>
      <w:r>
        <w:rPr>
          <w:rFonts w:ascii="Tahoma" w:hAnsi="Tahoma"/>
          <w:spacing w:val="-44"/>
        </w:rPr>
        <w:t> </w:t>
      </w:r>
      <w:r>
        <w:rPr>
          <w:rFonts w:ascii="Tahoma" w:hAnsi="Tahoma"/>
        </w:rPr>
        <w:t>The</w:t>
      </w:r>
      <w:r>
        <w:rPr>
          <w:rFonts w:ascii="Tahoma" w:hAnsi="Tahoma"/>
          <w:spacing w:val="-44"/>
        </w:rPr>
        <w:t> </w:t>
      </w:r>
      <w:r>
        <w:rPr>
          <w:rFonts w:ascii="Tahoma" w:hAnsi="Tahoma"/>
        </w:rPr>
        <w:t>County</w:t>
      </w:r>
      <w:r>
        <w:rPr>
          <w:rFonts w:ascii="Tahoma" w:hAnsi="Tahoma"/>
          <w:spacing w:val="-44"/>
        </w:rPr>
        <w:t> </w:t>
      </w:r>
      <w:r>
        <w:rPr>
          <w:rFonts w:ascii="Tahoma" w:hAnsi="Tahoma"/>
        </w:rPr>
        <w:t>will</w:t>
      </w:r>
      <w:r>
        <w:rPr>
          <w:rFonts w:ascii="Tahoma" w:hAnsi="Tahoma"/>
          <w:spacing w:val="-44"/>
        </w:rPr>
        <w:t> </w:t>
      </w:r>
      <w:r>
        <w:rPr>
          <w:rFonts w:ascii="Tahoma" w:hAnsi="Tahoma"/>
        </w:rPr>
        <w:t>foster</w:t>
      </w:r>
      <w:r>
        <w:rPr>
          <w:rFonts w:ascii="Tahoma" w:hAnsi="Tahoma"/>
          <w:spacing w:val="-44"/>
        </w:rPr>
        <w:t> </w:t>
      </w:r>
      <w:r>
        <w:rPr>
          <w:rFonts w:ascii="Tahoma" w:hAnsi="Tahoma"/>
        </w:rPr>
        <w:t>economic</w:t>
      </w:r>
      <w:r>
        <w:rPr>
          <w:rFonts w:ascii="Tahoma" w:hAnsi="Tahoma"/>
          <w:spacing w:val="-44"/>
        </w:rPr>
        <w:t> </w:t>
      </w:r>
      <w:r>
        <w:rPr>
          <w:rFonts w:ascii="Tahoma" w:hAnsi="Tahoma"/>
        </w:rPr>
        <w:t>innovation,</w:t>
      </w:r>
      <w:r>
        <w:rPr>
          <w:rFonts w:ascii="Tahoma" w:hAnsi="Tahoma"/>
          <w:spacing w:val="-44"/>
        </w:rPr>
        <w:t> </w:t>
      </w:r>
      <w:r>
        <w:rPr>
          <w:rFonts w:ascii="Tahoma" w:hAnsi="Tahoma"/>
        </w:rPr>
        <w:t>fiscal</w:t>
      </w:r>
      <w:r>
        <w:rPr>
          <w:rFonts w:ascii="Tahoma" w:hAnsi="Tahoma"/>
          <w:spacing w:val="-44"/>
        </w:rPr>
        <w:t> </w:t>
      </w:r>
      <w:r>
        <w:rPr>
          <w:rFonts w:ascii="Tahoma" w:hAnsi="Tahoma"/>
        </w:rPr>
        <w:t>strength,</w:t>
      </w:r>
      <w:r>
        <w:rPr>
          <w:rFonts w:ascii="Tahoma" w:hAnsi="Tahoma"/>
          <w:spacing w:val="-44"/>
        </w:rPr>
        <w:t> </w:t>
      </w:r>
      <w:r>
        <w:rPr>
          <w:rFonts w:ascii="Tahoma" w:hAnsi="Tahoma"/>
        </w:rPr>
        <w:t>and sustainability.</w:t>
      </w:r>
    </w:p>
    <w:p>
      <w:pPr>
        <w:pStyle w:val="BodyText"/>
        <w:spacing w:before="11"/>
        <w:rPr>
          <w:rFonts w:ascii="Tahoma"/>
          <w:sz w:val="22"/>
        </w:rPr>
      </w:pPr>
    </w:p>
    <w:p>
      <w:pPr>
        <w:pStyle w:val="BodyText"/>
        <w:spacing w:line="230" w:lineRule="auto" w:before="1"/>
        <w:ind w:left="991" w:right="1013"/>
        <w:jc w:val="both"/>
        <w:rPr>
          <w:rFonts w:ascii="Tahoma"/>
        </w:rPr>
      </w:pPr>
      <w:r>
        <w:rPr>
          <w:rFonts w:ascii="Tahoma"/>
        </w:rPr>
        <w:t>The</w:t>
      </w:r>
      <w:r>
        <w:rPr>
          <w:rFonts w:ascii="Tahoma"/>
          <w:spacing w:val="-11"/>
        </w:rPr>
        <w:t> </w:t>
      </w:r>
      <w:r>
        <w:rPr>
          <w:rFonts w:ascii="Tahoma"/>
        </w:rPr>
        <w:t>Envision</w:t>
      </w:r>
      <w:r>
        <w:rPr>
          <w:rFonts w:ascii="Tahoma"/>
          <w:spacing w:val="-11"/>
        </w:rPr>
        <w:t> </w:t>
      </w:r>
      <w:r>
        <w:rPr>
          <w:rFonts w:ascii="Tahoma"/>
        </w:rPr>
        <w:t>Loudoun</w:t>
      </w:r>
      <w:r>
        <w:rPr>
          <w:rFonts w:ascii="Tahoma"/>
          <w:spacing w:val="-10"/>
        </w:rPr>
        <w:t> </w:t>
      </w:r>
      <w:r>
        <w:rPr>
          <w:rFonts w:ascii="Tahoma"/>
        </w:rPr>
        <w:t>planning</w:t>
      </w:r>
      <w:r>
        <w:rPr>
          <w:rFonts w:ascii="Tahoma"/>
          <w:spacing w:val="-10"/>
        </w:rPr>
        <w:t> </w:t>
      </w:r>
      <w:r>
        <w:rPr>
          <w:rFonts w:ascii="Tahoma"/>
        </w:rPr>
        <w:t>process</w:t>
      </w:r>
      <w:r>
        <w:rPr>
          <w:rFonts w:ascii="Tahoma"/>
          <w:spacing w:val="-9"/>
        </w:rPr>
        <w:t> </w:t>
      </w:r>
      <w:r>
        <w:rPr>
          <w:rFonts w:ascii="Tahoma"/>
        </w:rPr>
        <w:t>began</w:t>
      </w:r>
      <w:r>
        <w:rPr>
          <w:rFonts w:ascii="Tahoma"/>
          <w:spacing w:val="-12"/>
        </w:rPr>
        <w:t> </w:t>
      </w:r>
      <w:r>
        <w:rPr>
          <w:rFonts w:ascii="Tahoma"/>
        </w:rPr>
        <w:t>with</w:t>
      </w:r>
      <w:r>
        <w:rPr>
          <w:rFonts w:ascii="Tahoma"/>
          <w:spacing w:val="-11"/>
        </w:rPr>
        <w:t> </w:t>
      </w:r>
      <w:r>
        <w:rPr>
          <w:rFonts w:ascii="Tahoma"/>
        </w:rPr>
        <w:t>a</w:t>
      </w:r>
      <w:r>
        <w:rPr>
          <w:rFonts w:ascii="Tahoma"/>
          <w:spacing w:val="-10"/>
        </w:rPr>
        <w:t> </w:t>
      </w:r>
      <w:r>
        <w:rPr>
          <w:rFonts w:ascii="Tahoma"/>
        </w:rPr>
        <w:t>Charter</w:t>
      </w:r>
      <w:r>
        <w:rPr>
          <w:rFonts w:ascii="Tahoma"/>
          <w:spacing w:val="-10"/>
        </w:rPr>
        <w:t> </w:t>
      </w:r>
      <w:r>
        <w:rPr>
          <w:rFonts w:ascii="Tahoma"/>
        </w:rPr>
        <w:t>adopted</w:t>
      </w:r>
      <w:r>
        <w:rPr>
          <w:rFonts w:ascii="Tahoma"/>
          <w:spacing w:val="-12"/>
        </w:rPr>
        <w:t> </w:t>
      </w:r>
      <w:r>
        <w:rPr>
          <w:rFonts w:ascii="Tahoma"/>
        </w:rPr>
        <w:t>by</w:t>
      </w:r>
      <w:r>
        <w:rPr>
          <w:rFonts w:ascii="Tahoma"/>
          <w:spacing w:val="-10"/>
        </w:rPr>
        <w:t> </w:t>
      </w:r>
      <w:r>
        <w:rPr>
          <w:rFonts w:ascii="Tahoma"/>
        </w:rPr>
        <w:t>the</w:t>
      </w:r>
      <w:r>
        <w:rPr>
          <w:rFonts w:ascii="Tahoma"/>
          <w:spacing w:val="-11"/>
        </w:rPr>
        <w:t> </w:t>
      </w:r>
      <w:r>
        <w:rPr>
          <w:rFonts w:ascii="Tahoma"/>
        </w:rPr>
        <w:t>Board</w:t>
      </w:r>
      <w:r>
        <w:rPr>
          <w:rFonts w:ascii="Tahoma"/>
          <w:spacing w:val="-11"/>
        </w:rPr>
        <w:t> </w:t>
      </w:r>
      <w:r>
        <w:rPr>
          <w:rFonts w:ascii="Tahoma"/>
        </w:rPr>
        <w:t>of Supervisors</w:t>
      </w:r>
      <w:r>
        <w:rPr>
          <w:rFonts w:ascii="Tahoma"/>
          <w:spacing w:val="-15"/>
        </w:rPr>
        <w:t> </w:t>
      </w:r>
      <w:r>
        <w:rPr>
          <w:rFonts w:ascii="Tahoma"/>
        </w:rPr>
        <w:t>in</w:t>
      </w:r>
      <w:r>
        <w:rPr>
          <w:rFonts w:ascii="Tahoma"/>
          <w:spacing w:val="-14"/>
        </w:rPr>
        <w:t> </w:t>
      </w:r>
      <w:r>
        <w:rPr>
          <w:rFonts w:ascii="Tahoma"/>
        </w:rPr>
        <w:t>April</w:t>
      </w:r>
      <w:r>
        <w:rPr>
          <w:rFonts w:ascii="Tahoma"/>
          <w:spacing w:val="-14"/>
        </w:rPr>
        <w:t> </w:t>
      </w:r>
      <w:r>
        <w:rPr>
          <w:rFonts w:ascii="Tahoma"/>
        </w:rPr>
        <w:t>2016.</w:t>
      </w:r>
      <w:r>
        <w:rPr>
          <w:rFonts w:ascii="Tahoma"/>
          <w:spacing w:val="-14"/>
        </w:rPr>
        <w:t> </w:t>
      </w:r>
      <w:r>
        <w:rPr>
          <w:rFonts w:ascii="Tahoma"/>
        </w:rPr>
        <w:t>The</w:t>
      </w:r>
      <w:r>
        <w:rPr>
          <w:rFonts w:ascii="Tahoma"/>
          <w:spacing w:val="-14"/>
        </w:rPr>
        <w:t> </w:t>
      </w:r>
      <w:r>
        <w:rPr>
          <w:rFonts w:ascii="Tahoma"/>
        </w:rPr>
        <w:t>Charter</w:t>
      </w:r>
      <w:r>
        <w:rPr>
          <w:rFonts w:ascii="Tahoma"/>
          <w:spacing w:val="-14"/>
        </w:rPr>
        <w:t> </w:t>
      </w:r>
      <w:r>
        <w:rPr>
          <w:rFonts w:ascii="Tahoma"/>
        </w:rPr>
        <w:t>identified</w:t>
      </w:r>
      <w:r>
        <w:rPr>
          <w:rFonts w:ascii="Tahoma"/>
          <w:spacing w:val="-14"/>
        </w:rPr>
        <w:t> </w:t>
      </w:r>
      <w:r>
        <w:rPr>
          <w:rFonts w:ascii="Tahoma"/>
        </w:rPr>
        <w:t>key</w:t>
      </w:r>
      <w:r>
        <w:rPr>
          <w:rFonts w:ascii="Tahoma"/>
          <w:spacing w:val="-14"/>
        </w:rPr>
        <w:t> </w:t>
      </w:r>
      <w:r>
        <w:rPr>
          <w:rFonts w:ascii="Tahoma"/>
        </w:rPr>
        <w:t>issues</w:t>
      </w:r>
      <w:r>
        <w:rPr>
          <w:rFonts w:ascii="Tahoma"/>
          <w:spacing w:val="-14"/>
        </w:rPr>
        <w:t> </w:t>
      </w:r>
      <w:r>
        <w:rPr>
          <w:rFonts w:ascii="Tahoma"/>
        </w:rPr>
        <w:t>to</w:t>
      </w:r>
      <w:r>
        <w:rPr>
          <w:rFonts w:ascii="Tahoma"/>
          <w:spacing w:val="-15"/>
        </w:rPr>
        <w:t> </w:t>
      </w:r>
      <w:r>
        <w:rPr>
          <w:rFonts w:ascii="Tahoma"/>
        </w:rPr>
        <w:t>be</w:t>
      </w:r>
      <w:r>
        <w:rPr>
          <w:rFonts w:ascii="Tahoma"/>
          <w:spacing w:val="-14"/>
        </w:rPr>
        <w:t> </w:t>
      </w:r>
      <w:r>
        <w:rPr>
          <w:rFonts w:ascii="Tahoma"/>
        </w:rPr>
        <w:t>addressed</w:t>
      </w:r>
      <w:r>
        <w:rPr>
          <w:rFonts w:ascii="Tahoma"/>
          <w:spacing w:val="-14"/>
        </w:rPr>
        <w:t> </w:t>
      </w:r>
      <w:r>
        <w:rPr>
          <w:rFonts w:ascii="Tahoma"/>
        </w:rPr>
        <w:t>in</w:t>
      </w:r>
      <w:r>
        <w:rPr>
          <w:rFonts w:ascii="Tahoma"/>
          <w:spacing w:val="-14"/>
        </w:rPr>
        <w:t> </w:t>
      </w:r>
      <w:r>
        <w:rPr>
          <w:rFonts w:ascii="Tahoma"/>
        </w:rPr>
        <w:t>the</w:t>
      </w:r>
      <w:r>
        <w:rPr>
          <w:rFonts w:ascii="Tahoma"/>
          <w:spacing w:val="-14"/>
        </w:rPr>
        <w:t> </w:t>
      </w:r>
      <w:r>
        <w:rPr>
          <w:rFonts w:ascii="Tahoma"/>
        </w:rPr>
        <w:t>new </w:t>
      </w:r>
      <w:r>
        <w:rPr>
          <w:rFonts w:ascii="Tahoma"/>
          <w:w w:val="95"/>
        </w:rPr>
        <w:t>comprehensive</w:t>
      </w:r>
      <w:r>
        <w:rPr>
          <w:rFonts w:ascii="Tahoma"/>
          <w:spacing w:val="-18"/>
          <w:w w:val="95"/>
        </w:rPr>
        <w:t> </w:t>
      </w:r>
      <w:r>
        <w:rPr>
          <w:rFonts w:ascii="Tahoma"/>
          <w:w w:val="95"/>
        </w:rPr>
        <w:t>plan:</w:t>
      </w:r>
      <w:r>
        <w:rPr>
          <w:rFonts w:ascii="Tahoma"/>
          <w:spacing w:val="-18"/>
          <w:w w:val="95"/>
        </w:rPr>
        <w:t> </w:t>
      </w:r>
      <w:r>
        <w:rPr>
          <w:rFonts w:ascii="Tahoma"/>
          <w:w w:val="95"/>
        </w:rPr>
        <w:t>Growth</w:t>
      </w:r>
      <w:r>
        <w:rPr>
          <w:rFonts w:ascii="Tahoma"/>
          <w:spacing w:val="-18"/>
          <w:w w:val="95"/>
        </w:rPr>
        <w:t> </w:t>
      </w:r>
      <w:r>
        <w:rPr>
          <w:rFonts w:ascii="Tahoma"/>
          <w:w w:val="95"/>
        </w:rPr>
        <w:t>Management,</w:t>
      </w:r>
      <w:r>
        <w:rPr>
          <w:rFonts w:ascii="Tahoma"/>
          <w:spacing w:val="-18"/>
          <w:w w:val="95"/>
        </w:rPr>
        <w:t> </w:t>
      </w:r>
      <w:r>
        <w:rPr>
          <w:rFonts w:ascii="Tahoma"/>
          <w:w w:val="95"/>
        </w:rPr>
        <w:t>Land</w:t>
      </w:r>
      <w:r>
        <w:rPr>
          <w:rFonts w:ascii="Tahoma"/>
          <w:spacing w:val="-20"/>
          <w:w w:val="95"/>
        </w:rPr>
        <w:t> </w:t>
      </w:r>
      <w:r>
        <w:rPr>
          <w:rFonts w:ascii="Tahoma"/>
          <w:w w:val="95"/>
        </w:rPr>
        <w:t>Use,</w:t>
      </w:r>
      <w:r>
        <w:rPr>
          <w:rFonts w:ascii="Tahoma"/>
          <w:spacing w:val="-18"/>
          <w:w w:val="95"/>
        </w:rPr>
        <w:t> </w:t>
      </w:r>
      <w:r>
        <w:rPr>
          <w:rFonts w:ascii="Tahoma"/>
          <w:w w:val="95"/>
        </w:rPr>
        <w:t>Transportation,</w:t>
      </w:r>
      <w:r>
        <w:rPr>
          <w:rFonts w:ascii="Tahoma"/>
          <w:spacing w:val="-18"/>
          <w:w w:val="95"/>
        </w:rPr>
        <w:t> </w:t>
      </w:r>
      <w:r>
        <w:rPr>
          <w:rFonts w:ascii="Tahoma"/>
          <w:w w:val="95"/>
        </w:rPr>
        <w:t>Natural</w:t>
      </w:r>
      <w:r>
        <w:rPr>
          <w:rFonts w:ascii="Tahoma"/>
          <w:spacing w:val="-18"/>
          <w:w w:val="95"/>
        </w:rPr>
        <w:t> </w:t>
      </w:r>
      <w:r>
        <w:rPr>
          <w:rFonts w:ascii="Tahoma"/>
          <w:w w:val="95"/>
        </w:rPr>
        <w:t>and</w:t>
      </w:r>
      <w:r>
        <w:rPr>
          <w:rFonts w:ascii="Tahoma"/>
          <w:spacing w:val="-18"/>
          <w:w w:val="95"/>
        </w:rPr>
        <w:t> </w:t>
      </w:r>
      <w:r>
        <w:rPr>
          <w:rFonts w:ascii="Tahoma"/>
          <w:w w:val="95"/>
        </w:rPr>
        <w:t>Heritage </w:t>
      </w:r>
      <w:r>
        <w:rPr>
          <w:rFonts w:ascii="Tahoma"/>
        </w:rPr>
        <w:t>Resources, Community Facilities and Amenities, Economic Development, and Fiscal </w:t>
      </w:r>
      <w:r>
        <w:rPr>
          <w:rFonts w:ascii="Tahoma"/>
          <w:w w:val="95"/>
        </w:rPr>
        <w:t>Management.</w:t>
      </w:r>
      <w:r>
        <w:rPr>
          <w:rFonts w:ascii="Tahoma"/>
          <w:spacing w:val="-27"/>
          <w:w w:val="95"/>
        </w:rPr>
        <w:t> </w:t>
      </w:r>
      <w:r>
        <w:rPr>
          <w:rFonts w:ascii="Tahoma"/>
          <w:w w:val="95"/>
        </w:rPr>
        <w:t>The</w:t>
      </w:r>
      <w:r>
        <w:rPr>
          <w:rFonts w:ascii="Tahoma"/>
          <w:spacing w:val="-27"/>
          <w:w w:val="95"/>
        </w:rPr>
        <w:t> </w:t>
      </w:r>
      <w:r>
        <w:rPr>
          <w:rFonts w:ascii="Tahoma"/>
          <w:w w:val="95"/>
        </w:rPr>
        <w:t>Charter</w:t>
      </w:r>
      <w:r>
        <w:rPr>
          <w:rFonts w:ascii="Tahoma"/>
          <w:spacing w:val="-26"/>
          <w:w w:val="95"/>
        </w:rPr>
        <w:t> </w:t>
      </w:r>
      <w:r>
        <w:rPr>
          <w:rFonts w:ascii="Tahoma"/>
          <w:w w:val="95"/>
        </w:rPr>
        <w:t>called</w:t>
      </w:r>
      <w:r>
        <w:rPr>
          <w:rFonts w:ascii="Tahoma"/>
          <w:spacing w:val="-27"/>
          <w:w w:val="95"/>
        </w:rPr>
        <w:t> </w:t>
      </w:r>
      <w:r>
        <w:rPr>
          <w:rFonts w:ascii="Tahoma"/>
          <w:w w:val="95"/>
        </w:rPr>
        <w:t>for</w:t>
      </w:r>
      <w:r>
        <w:rPr>
          <w:rFonts w:ascii="Tahoma"/>
          <w:spacing w:val="-27"/>
          <w:w w:val="95"/>
        </w:rPr>
        <w:t> </w:t>
      </w:r>
      <w:r>
        <w:rPr>
          <w:rFonts w:ascii="Tahoma"/>
          <w:w w:val="95"/>
        </w:rPr>
        <w:t>the</w:t>
      </w:r>
      <w:r>
        <w:rPr>
          <w:rFonts w:ascii="Tahoma"/>
          <w:spacing w:val="-28"/>
          <w:w w:val="95"/>
        </w:rPr>
        <w:t> </w:t>
      </w:r>
      <w:r>
        <w:rPr>
          <w:rFonts w:ascii="Tahoma"/>
          <w:w w:val="95"/>
        </w:rPr>
        <w:t>formation</w:t>
      </w:r>
      <w:r>
        <w:rPr>
          <w:rFonts w:ascii="Tahoma"/>
          <w:spacing w:val="-27"/>
          <w:w w:val="95"/>
        </w:rPr>
        <w:t> </w:t>
      </w:r>
      <w:r>
        <w:rPr>
          <w:rFonts w:ascii="Tahoma"/>
          <w:w w:val="95"/>
        </w:rPr>
        <w:t>of</w:t>
      </w:r>
      <w:r>
        <w:rPr>
          <w:rFonts w:ascii="Tahoma"/>
          <w:spacing w:val="-28"/>
          <w:w w:val="95"/>
        </w:rPr>
        <w:t> </w:t>
      </w:r>
      <w:r>
        <w:rPr>
          <w:rFonts w:ascii="Tahoma"/>
          <w:w w:val="95"/>
        </w:rPr>
        <w:t>a</w:t>
      </w:r>
      <w:r>
        <w:rPr>
          <w:rFonts w:ascii="Tahoma"/>
          <w:spacing w:val="-27"/>
          <w:w w:val="95"/>
        </w:rPr>
        <w:t> </w:t>
      </w:r>
      <w:r>
        <w:rPr>
          <w:rFonts w:ascii="Tahoma"/>
          <w:w w:val="95"/>
        </w:rPr>
        <w:t>26-member</w:t>
      </w:r>
      <w:r>
        <w:rPr>
          <w:rFonts w:ascii="Tahoma"/>
          <w:spacing w:val="-27"/>
          <w:w w:val="95"/>
        </w:rPr>
        <w:t> </w:t>
      </w:r>
      <w:r>
        <w:rPr>
          <w:rFonts w:ascii="Tahoma"/>
          <w:w w:val="95"/>
        </w:rPr>
        <w:t>committee</w:t>
      </w:r>
      <w:r>
        <w:rPr>
          <w:rFonts w:ascii="Tahoma"/>
          <w:spacing w:val="-28"/>
          <w:w w:val="95"/>
        </w:rPr>
        <w:t> </w:t>
      </w:r>
      <w:r>
        <w:rPr>
          <w:rFonts w:ascii="Tahoma"/>
          <w:w w:val="95"/>
        </w:rPr>
        <w:t>of</w:t>
      </w:r>
      <w:r>
        <w:rPr>
          <w:rFonts w:ascii="Tahoma"/>
          <w:spacing w:val="-28"/>
          <w:w w:val="95"/>
        </w:rPr>
        <w:t> </w:t>
      </w:r>
      <w:r>
        <w:rPr>
          <w:rFonts w:ascii="Tahoma"/>
          <w:w w:val="95"/>
        </w:rPr>
        <w:t>community stakeholders,</w:t>
      </w:r>
      <w:r>
        <w:rPr>
          <w:rFonts w:ascii="Tahoma"/>
          <w:spacing w:val="-13"/>
          <w:w w:val="95"/>
        </w:rPr>
        <w:t> </w:t>
      </w:r>
      <w:r>
        <w:rPr>
          <w:rFonts w:ascii="Tahoma"/>
          <w:w w:val="95"/>
        </w:rPr>
        <w:t>convened</w:t>
      </w:r>
      <w:r>
        <w:rPr>
          <w:rFonts w:ascii="Tahoma"/>
          <w:spacing w:val="-14"/>
          <w:w w:val="95"/>
        </w:rPr>
        <w:t> </w:t>
      </w:r>
      <w:r>
        <w:rPr>
          <w:rFonts w:ascii="Tahoma"/>
          <w:w w:val="95"/>
        </w:rPr>
        <w:t>a</w:t>
      </w:r>
      <w:r>
        <w:rPr>
          <w:rFonts w:ascii="Tahoma"/>
          <w:spacing w:val="-13"/>
          <w:w w:val="95"/>
        </w:rPr>
        <w:t> </w:t>
      </w:r>
      <w:r>
        <w:rPr>
          <w:rFonts w:ascii="Tahoma"/>
          <w:w w:val="95"/>
        </w:rPr>
        <w:t>staff</w:t>
      </w:r>
      <w:r>
        <w:rPr>
          <w:rFonts w:ascii="Tahoma"/>
          <w:spacing w:val="-13"/>
          <w:w w:val="95"/>
        </w:rPr>
        <w:t> </w:t>
      </w:r>
      <w:r>
        <w:rPr>
          <w:rFonts w:ascii="Tahoma"/>
          <w:w w:val="95"/>
        </w:rPr>
        <w:t>technical</w:t>
      </w:r>
      <w:r>
        <w:rPr>
          <w:rFonts w:ascii="Tahoma"/>
          <w:spacing w:val="-14"/>
          <w:w w:val="95"/>
        </w:rPr>
        <w:t> </w:t>
      </w:r>
      <w:r>
        <w:rPr>
          <w:rFonts w:ascii="Tahoma"/>
          <w:w w:val="95"/>
        </w:rPr>
        <w:t>advisory</w:t>
      </w:r>
      <w:r>
        <w:rPr>
          <w:rFonts w:ascii="Tahoma"/>
          <w:spacing w:val="-14"/>
          <w:w w:val="95"/>
        </w:rPr>
        <w:t> </w:t>
      </w:r>
      <w:r>
        <w:rPr>
          <w:rFonts w:ascii="Tahoma"/>
          <w:w w:val="95"/>
        </w:rPr>
        <w:t>committee</w:t>
      </w:r>
      <w:r>
        <w:rPr>
          <w:rFonts w:ascii="Tahoma"/>
          <w:spacing w:val="-13"/>
          <w:w w:val="95"/>
        </w:rPr>
        <w:t> </w:t>
      </w:r>
      <w:r>
        <w:rPr>
          <w:rFonts w:ascii="Tahoma"/>
          <w:w w:val="95"/>
        </w:rPr>
        <w:t>from</w:t>
      </w:r>
      <w:r>
        <w:rPr>
          <w:rFonts w:ascii="Tahoma"/>
          <w:spacing w:val="-14"/>
          <w:w w:val="95"/>
        </w:rPr>
        <w:t> </w:t>
      </w:r>
      <w:r>
        <w:rPr>
          <w:rFonts w:ascii="Tahoma"/>
          <w:w w:val="95"/>
        </w:rPr>
        <w:t>regional</w:t>
      </w:r>
      <w:r>
        <w:rPr>
          <w:rFonts w:ascii="Tahoma"/>
          <w:spacing w:val="-13"/>
          <w:w w:val="95"/>
        </w:rPr>
        <w:t> </w:t>
      </w:r>
      <w:r>
        <w:rPr>
          <w:rFonts w:ascii="Tahoma"/>
          <w:w w:val="95"/>
        </w:rPr>
        <w:t>public</w:t>
      </w:r>
      <w:r>
        <w:rPr>
          <w:rFonts w:ascii="Tahoma"/>
          <w:spacing w:val="-14"/>
          <w:w w:val="95"/>
        </w:rPr>
        <w:t> </w:t>
      </w:r>
      <w:r>
        <w:rPr>
          <w:rFonts w:ascii="Tahoma"/>
          <w:w w:val="95"/>
        </w:rPr>
        <w:t>agencies, and</w:t>
      </w:r>
      <w:r>
        <w:rPr>
          <w:rFonts w:ascii="Tahoma"/>
          <w:spacing w:val="-25"/>
          <w:w w:val="95"/>
        </w:rPr>
        <w:t> </w:t>
      </w:r>
      <w:r>
        <w:rPr>
          <w:rFonts w:ascii="Tahoma"/>
          <w:w w:val="95"/>
        </w:rPr>
        <w:t>set</w:t>
      </w:r>
      <w:r>
        <w:rPr>
          <w:rFonts w:ascii="Tahoma"/>
          <w:spacing w:val="-26"/>
          <w:w w:val="95"/>
        </w:rPr>
        <w:t> </w:t>
      </w:r>
      <w:r>
        <w:rPr>
          <w:rFonts w:ascii="Tahoma"/>
          <w:w w:val="95"/>
        </w:rPr>
        <w:t>forth</w:t>
      </w:r>
      <w:r>
        <w:rPr>
          <w:rFonts w:ascii="Tahoma"/>
          <w:spacing w:val="-26"/>
          <w:w w:val="95"/>
        </w:rPr>
        <w:t> </w:t>
      </w:r>
      <w:r>
        <w:rPr>
          <w:rFonts w:ascii="Tahoma"/>
          <w:w w:val="95"/>
        </w:rPr>
        <w:t>a</w:t>
      </w:r>
      <w:r>
        <w:rPr>
          <w:rFonts w:ascii="Tahoma"/>
          <w:spacing w:val="-25"/>
          <w:w w:val="95"/>
        </w:rPr>
        <w:t> </w:t>
      </w:r>
      <w:r>
        <w:rPr>
          <w:rFonts w:ascii="Tahoma"/>
          <w:w w:val="95"/>
        </w:rPr>
        <w:t>community</w:t>
      </w:r>
      <w:r>
        <w:rPr>
          <w:rFonts w:ascii="Tahoma"/>
          <w:spacing w:val="-26"/>
          <w:w w:val="95"/>
        </w:rPr>
        <w:t> </w:t>
      </w:r>
      <w:r>
        <w:rPr>
          <w:rFonts w:ascii="Tahoma"/>
          <w:w w:val="95"/>
        </w:rPr>
        <w:t>engagement</w:t>
      </w:r>
      <w:r>
        <w:rPr>
          <w:rFonts w:ascii="Tahoma"/>
          <w:spacing w:val="-26"/>
          <w:w w:val="95"/>
        </w:rPr>
        <w:t> </w:t>
      </w:r>
      <w:r>
        <w:rPr>
          <w:rFonts w:ascii="Tahoma"/>
          <w:w w:val="95"/>
        </w:rPr>
        <w:t>strategy</w:t>
      </w:r>
      <w:r>
        <w:rPr>
          <w:rFonts w:ascii="Tahoma"/>
          <w:spacing w:val="-25"/>
          <w:w w:val="95"/>
        </w:rPr>
        <w:t> </w:t>
      </w:r>
      <w:r>
        <w:rPr>
          <w:rFonts w:ascii="Tahoma"/>
          <w:w w:val="95"/>
        </w:rPr>
        <w:t>to</w:t>
      </w:r>
      <w:r>
        <w:rPr>
          <w:rFonts w:ascii="Tahoma"/>
          <w:spacing w:val="-26"/>
          <w:w w:val="95"/>
        </w:rPr>
        <w:t> </w:t>
      </w:r>
      <w:r>
        <w:rPr>
          <w:rFonts w:ascii="Tahoma"/>
          <w:w w:val="95"/>
        </w:rPr>
        <w:t>allow</w:t>
      </w:r>
      <w:r>
        <w:rPr>
          <w:rFonts w:ascii="Tahoma"/>
          <w:spacing w:val="-26"/>
          <w:w w:val="95"/>
        </w:rPr>
        <w:t> </w:t>
      </w:r>
      <w:r>
        <w:rPr>
          <w:rFonts w:ascii="Tahoma"/>
          <w:w w:val="95"/>
        </w:rPr>
        <w:t>for</w:t>
      </w:r>
      <w:r>
        <w:rPr>
          <w:rFonts w:ascii="Tahoma"/>
          <w:spacing w:val="-25"/>
          <w:w w:val="95"/>
        </w:rPr>
        <w:t> </w:t>
      </w:r>
      <w:r>
        <w:rPr>
          <w:rFonts w:ascii="Tahoma"/>
          <w:w w:val="95"/>
        </w:rPr>
        <w:t>multiple</w:t>
      </w:r>
      <w:r>
        <w:rPr>
          <w:rFonts w:ascii="Tahoma"/>
          <w:spacing w:val="-28"/>
          <w:w w:val="95"/>
        </w:rPr>
        <w:t> </w:t>
      </w:r>
      <w:r>
        <w:rPr>
          <w:rFonts w:ascii="Tahoma"/>
          <w:w w:val="95"/>
        </w:rPr>
        <w:t>opportunities</w:t>
      </w:r>
      <w:r>
        <w:rPr>
          <w:rFonts w:ascii="Tahoma"/>
          <w:spacing w:val="-26"/>
          <w:w w:val="95"/>
        </w:rPr>
        <w:t> </w:t>
      </w:r>
      <w:r>
        <w:rPr>
          <w:rFonts w:ascii="Tahoma"/>
          <w:w w:val="95"/>
        </w:rPr>
        <w:t>for</w:t>
      </w:r>
      <w:r>
        <w:rPr>
          <w:rFonts w:ascii="Tahoma"/>
          <w:spacing w:val="-25"/>
          <w:w w:val="95"/>
        </w:rPr>
        <w:t> </w:t>
      </w:r>
      <w:r>
        <w:rPr>
          <w:rFonts w:ascii="Tahoma"/>
          <w:w w:val="95"/>
        </w:rPr>
        <w:t>public </w:t>
      </w:r>
      <w:r>
        <w:rPr>
          <w:rFonts w:ascii="Tahoma"/>
        </w:rPr>
        <w:t>outreach throughout the process. To ensure the community was kept informed, a </w:t>
      </w:r>
      <w:r>
        <w:rPr>
          <w:rFonts w:ascii="Tahoma"/>
          <w:w w:val="95"/>
        </w:rPr>
        <w:t>communications</w:t>
      </w:r>
      <w:r>
        <w:rPr>
          <w:rFonts w:ascii="Tahoma"/>
          <w:spacing w:val="-32"/>
          <w:w w:val="95"/>
        </w:rPr>
        <w:t> </w:t>
      </w:r>
      <w:r>
        <w:rPr>
          <w:rFonts w:ascii="Tahoma"/>
          <w:w w:val="95"/>
        </w:rPr>
        <w:t>plan</w:t>
      </w:r>
      <w:r>
        <w:rPr>
          <w:rFonts w:ascii="Tahoma"/>
          <w:spacing w:val="-31"/>
          <w:w w:val="95"/>
        </w:rPr>
        <w:t> </w:t>
      </w:r>
      <w:r>
        <w:rPr>
          <w:rFonts w:ascii="Tahoma"/>
          <w:w w:val="95"/>
        </w:rPr>
        <w:t>was</w:t>
      </w:r>
      <w:r>
        <w:rPr>
          <w:rFonts w:ascii="Tahoma"/>
          <w:spacing w:val="-32"/>
          <w:w w:val="95"/>
        </w:rPr>
        <w:t> </w:t>
      </w:r>
      <w:r>
        <w:rPr>
          <w:rFonts w:ascii="Tahoma"/>
          <w:w w:val="95"/>
        </w:rPr>
        <w:t>deployed</w:t>
      </w:r>
      <w:r>
        <w:rPr>
          <w:rFonts w:ascii="Tahoma"/>
          <w:spacing w:val="-31"/>
          <w:w w:val="95"/>
        </w:rPr>
        <w:t> </w:t>
      </w:r>
      <w:r>
        <w:rPr>
          <w:rFonts w:ascii="Tahoma"/>
          <w:w w:val="95"/>
        </w:rPr>
        <w:t>that</w:t>
      </w:r>
      <w:r>
        <w:rPr>
          <w:rFonts w:ascii="Tahoma"/>
          <w:spacing w:val="-31"/>
          <w:w w:val="95"/>
        </w:rPr>
        <w:t> </w:t>
      </w:r>
      <w:r>
        <w:rPr>
          <w:rFonts w:ascii="Tahoma"/>
          <w:w w:val="95"/>
        </w:rPr>
        <w:t>utilized</w:t>
      </w:r>
      <w:r>
        <w:rPr>
          <w:rFonts w:ascii="Tahoma"/>
          <w:spacing w:val="-33"/>
          <w:w w:val="95"/>
        </w:rPr>
        <w:t> </w:t>
      </w:r>
      <w:r>
        <w:rPr>
          <w:rFonts w:ascii="Tahoma"/>
          <w:w w:val="95"/>
        </w:rPr>
        <w:t>internet,</w:t>
      </w:r>
      <w:r>
        <w:rPr>
          <w:rFonts w:ascii="Tahoma"/>
          <w:spacing w:val="-31"/>
          <w:w w:val="95"/>
        </w:rPr>
        <w:t> </w:t>
      </w:r>
      <w:r>
        <w:rPr>
          <w:rFonts w:ascii="Tahoma"/>
          <w:w w:val="95"/>
        </w:rPr>
        <w:t>social</w:t>
      </w:r>
      <w:r>
        <w:rPr>
          <w:rFonts w:ascii="Tahoma"/>
          <w:spacing w:val="-31"/>
          <w:w w:val="95"/>
        </w:rPr>
        <w:t> </w:t>
      </w:r>
      <w:r>
        <w:rPr>
          <w:rFonts w:ascii="Tahoma"/>
          <w:w w:val="95"/>
        </w:rPr>
        <w:t>media,</w:t>
      </w:r>
      <w:r>
        <w:rPr>
          <w:rFonts w:ascii="Tahoma"/>
          <w:spacing w:val="-33"/>
          <w:w w:val="95"/>
        </w:rPr>
        <w:t> </w:t>
      </w:r>
      <w:r>
        <w:rPr>
          <w:rFonts w:ascii="Tahoma"/>
          <w:w w:val="95"/>
        </w:rPr>
        <w:t>radio</w:t>
      </w:r>
      <w:r>
        <w:rPr>
          <w:rFonts w:ascii="Tahoma"/>
          <w:spacing w:val="-31"/>
          <w:w w:val="95"/>
        </w:rPr>
        <w:t> </w:t>
      </w:r>
      <w:r>
        <w:rPr>
          <w:rFonts w:ascii="Tahoma"/>
          <w:w w:val="95"/>
        </w:rPr>
        <w:t>advertising,</w:t>
      </w:r>
      <w:r>
        <w:rPr>
          <w:rFonts w:ascii="Tahoma"/>
          <w:spacing w:val="-33"/>
          <w:w w:val="95"/>
        </w:rPr>
        <w:t> </w:t>
      </w:r>
      <w:r>
        <w:rPr>
          <w:rFonts w:ascii="Tahoma"/>
          <w:w w:val="95"/>
        </w:rPr>
        <w:t>and </w:t>
      </w:r>
      <w:r>
        <w:rPr>
          <w:rFonts w:ascii="Tahoma"/>
        </w:rPr>
        <w:t>print</w:t>
      </w:r>
      <w:r>
        <w:rPr>
          <w:rFonts w:ascii="Tahoma"/>
          <w:spacing w:val="-11"/>
        </w:rPr>
        <w:t> </w:t>
      </w:r>
      <w:r>
        <w:rPr>
          <w:rFonts w:ascii="Tahoma"/>
        </w:rPr>
        <w:t>materials.</w:t>
      </w:r>
    </w:p>
    <w:p>
      <w:pPr>
        <w:pStyle w:val="BodyText"/>
        <w:spacing w:before="4"/>
        <w:rPr>
          <w:rFonts w:ascii="Tahoma"/>
          <w:sz w:val="23"/>
        </w:rPr>
      </w:pPr>
    </w:p>
    <w:p>
      <w:pPr>
        <w:pStyle w:val="BodyText"/>
        <w:spacing w:line="230" w:lineRule="auto"/>
        <w:ind w:left="991" w:right="1013"/>
        <w:jc w:val="both"/>
        <w:rPr>
          <w:rFonts w:ascii="Tahoma" w:hAnsi="Tahoma"/>
        </w:rPr>
      </w:pPr>
      <w:r>
        <w:rPr>
          <w:rFonts w:ascii="Tahoma" w:hAnsi="Tahoma"/>
          <w:w w:val="95"/>
        </w:rPr>
        <w:t>Envision</w:t>
      </w:r>
      <w:r>
        <w:rPr>
          <w:rFonts w:ascii="Tahoma" w:hAnsi="Tahoma"/>
          <w:spacing w:val="-16"/>
          <w:w w:val="95"/>
        </w:rPr>
        <w:t> </w:t>
      </w:r>
      <w:r>
        <w:rPr>
          <w:rFonts w:ascii="Tahoma" w:hAnsi="Tahoma"/>
          <w:w w:val="95"/>
        </w:rPr>
        <w:t>Loudoun</w:t>
      </w:r>
      <w:r>
        <w:rPr>
          <w:rFonts w:ascii="Tahoma" w:hAnsi="Tahoma"/>
          <w:spacing w:val="-16"/>
          <w:w w:val="95"/>
        </w:rPr>
        <w:t> </w:t>
      </w:r>
      <w:r>
        <w:rPr>
          <w:rFonts w:ascii="Tahoma" w:hAnsi="Tahoma"/>
          <w:w w:val="95"/>
        </w:rPr>
        <w:t>proved</w:t>
      </w:r>
      <w:r>
        <w:rPr>
          <w:rFonts w:ascii="Tahoma" w:hAnsi="Tahoma"/>
          <w:spacing w:val="-16"/>
          <w:w w:val="95"/>
        </w:rPr>
        <w:t> </w:t>
      </w:r>
      <w:r>
        <w:rPr>
          <w:rFonts w:ascii="Tahoma" w:hAnsi="Tahoma"/>
          <w:w w:val="95"/>
        </w:rPr>
        <w:t>to</w:t>
      </w:r>
      <w:r>
        <w:rPr>
          <w:rFonts w:ascii="Tahoma" w:hAnsi="Tahoma"/>
          <w:spacing w:val="-18"/>
          <w:w w:val="95"/>
        </w:rPr>
        <w:t> </w:t>
      </w:r>
      <w:r>
        <w:rPr>
          <w:rFonts w:ascii="Tahoma" w:hAnsi="Tahoma"/>
          <w:w w:val="95"/>
        </w:rPr>
        <w:t>be</w:t>
      </w:r>
      <w:r>
        <w:rPr>
          <w:rFonts w:ascii="Tahoma" w:hAnsi="Tahoma"/>
          <w:spacing w:val="-16"/>
          <w:w w:val="95"/>
        </w:rPr>
        <w:t> </w:t>
      </w:r>
      <w:r>
        <w:rPr>
          <w:rFonts w:ascii="Tahoma" w:hAnsi="Tahoma"/>
          <w:w w:val="95"/>
        </w:rPr>
        <w:t>an</w:t>
      </w:r>
      <w:r>
        <w:rPr>
          <w:rFonts w:ascii="Tahoma" w:hAnsi="Tahoma"/>
          <w:spacing w:val="-15"/>
          <w:w w:val="95"/>
        </w:rPr>
        <w:t> </w:t>
      </w:r>
      <w:r>
        <w:rPr>
          <w:rFonts w:ascii="Tahoma" w:hAnsi="Tahoma"/>
          <w:w w:val="95"/>
        </w:rPr>
        <w:t>unprecedented</w:t>
      </w:r>
      <w:r>
        <w:rPr>
          <w:rFonts w:ascii="Tahoma" w:hAnsi="Tahoma"/>
          <w:spacing w:val="-16"/>
          <w:w w:val="95"/>
        </w:rPr>
        <w:t> </w:t>
      </w:r>
      <w:r>
        <w:rPr>
          <w:rFonts w:ascii="Tahoma" w:hAnsi="Tahoma"/>
          <w:w w:val="95"/>
        </w:rPr>
        <w:t>public</w:t>
      </w:r>
      <w:r>
        <w:rPr>
          <w:rFonts w:ascii="Tahoma" w:hAnsi="Tahoma"/>
          <w:spacing w:val="-16"/>
          <w:w w:val="95"/>
        </w:rPr>
        <w:t> </w:t>
      </w:r>
      <w:r>
        <w:rPr>
          <w:rFonts w:ascii="Tahoma" w:hAnsi="Tahoma"/>
          <w:w w:val="95"/>
        </w:rPr>
        <w:t>engagement</w:t>
      </w:r>
      <w:r>
        <w:rPr>
          <w:rFonts w:ascii="Tahoma" w:hAnsi="Tahoma"/>
          <w:spacing w:val="-17"/>
          <w:w w:val="95"/>
        </w:rPr>
        <w:t> </w:t>
      </w:r>
      <w:r>
        <w:rPr>
          <w:rFonts w:ascii="Tahoma" w:hAnsi="Tahoma"/>
          <w:w w:val="95"/>
        </w:rPr>
        <w:t>effort</w:t>
      </w:r>
      <w:r>
        <w:rPr>
          <w:rFonts w:ascii="Tahoma" w:hAnsi="Tahoma"/>
          <w:spacing w:val="-17"/>
          <w:w w:val="95"/>
        </w:rPr>
        <w:t> </w:t>
      </w:r>
      <w:r>
        <w:rPr>
          <w:rFonts w:ascii="Tahoma" w:hAnsi="Tahoma"/>
          <w:w w:val="95"/>
        </w:rPr>
        <w:t>for</w:t>
      </w:r>
      <w:r>
        <w:rPr>
          <w:rFonts w:ascii="Tahoma" w:hAnsi="Tahoma"/>
          <w:spacing w:val="-16"/>
          <w:w w:val="95"/>
        </w:rPr>
        <w:t> </w:t>
      </w:r>
      <w:r>
        <w:rPr>
          <w:rFonts w:ascii="Tahoma" w:hAnsi="Tahoma"/>
          <w:w w:val="95"/>
        </w:rPr>
        <w:t>the</w:t>
      </w:r>
      <w:r>
        <w:rPr>
          <w:rFonts w:ascii="Tahoma" w:hAnsi="Tahoma"/>
          <w:spacing w:val="-17"/>
          <w:w w:val="95"/>
        </w:rPr>
        <w:t> </w:t>
      </w:r>
      <w:r>
        <w:rPr>
          <w:rFonts w:ascii="Tahoma" w:hAnsi="Tahoma"/>
          <w:w w:val="95"/>
        </w:rPr>
        <w:t>County. Between</w:t>
      </w:r>
      <w:r>
        <w:rPr>
          <w:rFonts w:ascii="Tahoma" w:hAnsi="Tahoma"/>
          <w:spacing w:val="-14"/>
          <w:w w:val="95"/>
        </w:rPr>
        <w:t> </w:t>
      </w:r>
      <w:r>
        <w:rPr>
          <w:rFonts w:ascii="Tahoma" w:hAnsi="Tahoma"/>
          <w:w w:val="95"/>
        </w:rPr>
        <w:t>summer</w:t>
      </w:r>
      <w:r>
        <w:rPr>
          <w:rFonts w:ascii="Tahoma" w:hAnsi="Tahoma"/>
          <w:spacing w:val="-14"/>
          <w:w w:val="95"/>
        </w:rPr>
        <w:t> </w:t>
      </w:r>
      <w:r>
        <w:rPr>
          <w:rFonts w:ascii="Tahoma" w:hAnsi="Tahoma"/>
          <w:w w:val="95"/>
        </w:rPr>
        <w:t>2016</w:t>
      </w:r>
      <w:r>
        <w:rPr>
          <w:rFonts w:ascii="Tahoma" w:hAnsi="Tahoma"/>
          <w:spacing w:val="-16"/>
          <w:w w:val="95"/>
        </w:rPr>
        <w:t> </w:t>
      </w:r>
      <w:r>
        <w:rPr>
          <w:rFonts w:ascii="Tahoma" w:hAnsi="Tahoma"/>
          <w:w w:val="95"/>
        </w:rPr>
        <w:t>and</w:t>
      </w:r>
      <w:r>
        <w:rPr>
          <w:rFonts w:ascii="Tahoma" w:hAnsi="Tahoma"/>
          <w:spacing w:val="-13"/>
          <w:w w:val="95"/>
        </w:rPr>
        <w:t> </w:t>
      </w:r>
      <w:r>
        <w:rPr>
          <w:rFonts w:ascii="Tahoma" w:hAnsi="Tahoma"/>
          <w:w w:val="95"/>
        </w:rPr>
        <w:t>spring</w:t>
      </w:r>
      <w:r>
        <w:rPr>
          <w:rFonts w:ascii="Tahoma" w:hAnsi="Tahoma"/>
          <w:spacing w:val="-13"/>
          <w:w w:val="95"/>
        </w:rPr>
        <w:t> </w:t>
      </w:r>
      <w:r>
        <w:rPr>
          <w:rFonts w:ascii="Tahoma" w:hAnsi="Tahoma"/>
          <w:w w:val="95"/>
        </w:rPr>
        <w:t>2018,</w:t>
      </w:r>
      <w:r>
        <w:rPr>
          <w:rFonts w:ascii="Tahoma" w:hAnsi="Tahoma"/>
          <w:spacing w:val="-15"/>
          <w:w w:val="95"/>
        </w:rPr>
        <w:t> </w:t>
      </w:r>
      <w:r>
        <w:rPr>
          <w:rFonts w:ascii="Tahoma" w:hAnsi="Tahoma"/>
          <w:w w:val="95"/>
        </w:rPr>
        <w:t>the</w:t>
      </w:r>
      <w:r>
        <w:rPr>
          <w:rFonts w:ascii="Tahoma" w:hAnsi="Tahoma"/>
          <w:spacing w:val="-15"/>
          <w:w w:val="95"/>
        </w:rPr>
        <w:t> </w:t>
      </w:r>
      <w:r>
        <w:rPr>
          <w:rFonts w:ascii="Tahoma" w:hAnsi="Tahoma"/>
          <w:w w:val="95"/>
        </w:rPr>
        <w:t>stakeholders</w:t>
      </w:r>
      <w:r>
        <w:rPr>
          <w:rFonts w:ascii="Tahoma" w:hAnsi="Tahoma"/>
          <w:spacing w:val="-15"/>
          <w:w w:val="95"/>
        </w:rPr>
        <w:t> </w:t>
      </w:r>
      <w:r>
        <w:rPr>
          <w:rFonts w:ascii="Tahoma" w:hAnsi="Tahoma"/>
          <w:w w:val="95"/>
        </w:rPr>
        <w:t>committee</w:t>
      </w:r>
      <w:r>
        <w:rPr>
          <w:rFonts w:ascii="Tahoma" w:hAnsi="Tahoma"/>
          <w:spacing w:val="-14"/>
          <w:w w:val="95"/>
        </w:rPr>
        <w:t> </w:t>
      </w:r>
      <w:r>
        <w:rPr>
          <w:rFonts w:ascii="Tahoma" w:hAnsi="Tahoma"/>
          <w:w w:val="95"/>
        </w:rPr>
        <w:t>and</w:t>
      </w:r>
      <w:r>
        <w:rPr>
          <w:rFonts w:ascii="Tahoma" w:hAnsi="Tahoma"/>
          <w:spacing w:val="-14"/>
          <w:w w:val="95"/>
        </w:rPr>
        <w:t> </w:t>
      </w:r>
      <w:r>
        <w:rPr>
          <w:rFonts w:ascii="Tahoma" w:hAnsi="Tahoma"/>
          <w:w w:val="95"/>
        </w:rPr>
        <w:t>County</w:t>
      </w:r>
      <w:r>
        <w:rPr>
          <w:rFonts w:ascii="Tahoma" w:hAnsi="Tahoma"/>
          <w:spacing w:val="-14"/>
          <w:w w:val="95"/>
        </w:rPr>
        <w:t> </w:t>
      </w:r>
      <w:r>
        <w:rPr>
          <w:rFonts w:ascii="Tahoma" w:hAnsi="Tahoma"/>
          <w:w w:val="95"/>
        </w:rPr>
        <w:t>staff</w:t>
      </w:r>
      <w:r>
        <w:rPr>
          <w:rFonts w:ascii="Tahoma" w:hAnsi="Tahoma"/>
          <w:spacing w:val="-14"/>
          <w:w w:val="95"/>
        </w:rPr>
        <w:t> </w:t>
      </w:r>
      <w:r>
        <w:rPr>
          <w:rFonts w:ascii="Tahoma" w:hAnsi="Tahoma"/>
          <w:w w:val="95"/>
        </w:rPr>
        <w:t>held </w:t>
      </w:r>
      <w:r>
        <w:rPr>
          <w:rFonts w:ascii="Tahoma" w:hAnsi="Tahoma"/>
        </w:rPr>
        <w:t>over</w:t>
      </w:r>
      <w:r>
        <w:rPr>
          <w:rFonts w:ascii="Tahoma" w:hAnsi="Tahoma"/>
          <w:spacing w:val="-25"/>
        </w:rPr>
        <w:t> </w:t>
      </w:r>
      <w:r>
        <w:rPr>
          <w:rFonts w:ascii="Tahoma" w:hAnsi="Tahoma"/>
        </w:rPr>
        <w:t>40</w:t>
      </w:r>
      <w:r>
        <w:rPr>
          <w:rFonts w:ascii="Tahoma" w:hAnsi="Tahoma"/>
          <w:spacing w:val="-26"/>
        </w:rPr>
        <w:t> </w:t>
      </w:r>
      <w:r>
        <w:rPr>
          <w:rFonts w:ascii="Tahoma" w:hAnsi="Tahoma"/>
        </w:rPr>
        <w:t>worksessions.</w:t>
      </w:r>
      <w:r>
        <w:rPr>
          <w:rFonts w:ascii="Tahoma" w:hAnsi="Tahoma"/>
          <w:spacing w:val="-25"/>
        </w:rPr>
        <w:t> </w:t>
      </w:r>
      <w:r>
        <w:rPr>
          <w:rFonts w:ascii="Tahoma" w:hAnsi="Tahoma"/>
        </w:rPr>
        <w:t>The</w:t>
      </w:r>
      <w:r>
        <w:rPr>
          <w:rFonts w:ascii="Tahoma" w:hAnsi="Tahoma"/>
          <w:spacing w:val="-26"/>
        </w:rPr>
        <w:t> </w:t>
      </w:r>
      <w:r>
        <w:rPr>
          <w:rFonts w:ascii="Tahoma" w:hAnsi="Tahoma"/>
        </w:rPr>
        <w:t>public</w:t>
      </w:r>
      <w:r>
        <w:rPr>
          <w:rFonts w:ascii="Tahoma" w:hAnsi="Tahoma"/>
          <w:spacing w:val="-26"/>
        </w:rPr>
        <w:t> </w:t>
      </w:r>
      <w:r>
        <w:rPr>
          <w:rFonts w:ascii="Tahoma" w:hAnsi="Tahoma"/>
        </w:rPr>
        <w:t>participated</w:t>
      </w:r>
      <w:r>
        <w:rPr>
          <w:rFonts w:ascii="Tahoma" w:hAnsi="Tahoma"/>
          <w:spacing w:val="-26"/>
        </w:rPr>
        <w:t> </w:t>
      </w:r>
      <w:r>
        <w:rPr>
          <w:rFonts w:ascii="Tahoma" w:hAnsi="Tahoma"/>
        </w:rPr>
        <w:t>in</w:t>
      </w:r>
      <w:r>
        <w:rPr>
          <w:rFonts w:ascii="Tahoma" w:hAnsi="Tahoma"/>
          <w:spacing w:val="-26"/>
        </w:rPr>
        <w:t> </w:t>
      </w:r>
      <w:r>
        <w:rPr>
          <w:rFonts w:ascii="Tahoma" w:hAnsi="Tahoma"/>
        </w:rPr>
        <w:t>three</w:t>
      </w:r>
      <w:r>
        <w:rPr>
          <w:rFonts w:ascii="Tahoma" w:hAnsi="Tahoma"/>
          <w:spacing w:val="-26"/>
        </w:rPr>
        <w:t> </w:t>
      </w:r>
      <w:r>
        <w:rPr>
          <w:rFonts w:ascii="Tahoma" w:hAnsi="Tahoma"/>
        </w:rPr>
        <w:t>sets</w:t>
      </w:r>
      <w:r>
        <w:rPr>
          <w:rFonts w:ascii="Tahoma" w:hAnsi="Tahoma"/>
          <w:spacing w:val="-27"/>
        </w:rPr>
        <w:t> </w:t>
      </w:r>
      <w:r>
        <w:rPr>
          <w:rFonts w:ascii="Tahoma" w:hAnsi="Tahoma"/>
        </w:rPr>
        <w:t>of</w:t>
      </w:r>
      <w:r>
        <w:rPr>
          <w:rFonts w:ascii="Tahoma" w:hAnsi="Tahoma"/>
          <w:spacing w:val="-26"/>
        </w:rPr>
        <w:t> </w:t>
      </w:r>
      <w:r>
        <w:rPr>
          <w:rFonts w:ascii="Tahoma" w:hAnsi="Tahoma"/>
        </w:rPr>
        <w:t>public</w:t>
      </w:r>
      <w:r>
        <w:rPr>
          <w:rFonts w:ascii="Tahoma" w:hAnsi="Tahoma"/>
          <w:spacing w:val="-26"/>
        </w:rPr>
        <w:t> </w:t>
      </w:r>
      <w:r>
        <w:rPr>
          <w:rFonts w:ascii="Tahoma" w:hAnsi="Tahoma"/>
        </w:rPr>
        <w:t>outreach</w:t>
      </w:r>
      <w:r>
        <w:rPr>
          <w:rFonts w:ascii="Tahoma" w:hAnsi="Tahoma"/>
          <w:spacing w:val="-26"/>
        </w:rPr>
        <w:t> </w:t>
      </w:r>
      <w:r>
        <w:rPr>
          <w:rFonts w:ascii="Tahoma" w:hAnsi="Tahoma"/>
        </w:rPr>
        <w:t>sessions</w:t>
      </w:r>
      <w:r>
        <w:rPr>
          <w:rFonts w:ascii="Tahoma" w:hAnsi="Tahoma"/>
          <w:spacing w:val="-23"/>
        </w:rPr>
        <w:t> </w:t>
      </w:r>
      <w:r>
        <w:rPr>
          <w:rFonts w:ascii="Tahoma" w:hAnsi="Tahoma"/>
        </w:rPr>
        <w:t>– </w:t>
      </w:r>
      <w:r>
        <w:rPr>
          <w:rFonts w:ascii="Tahoma" w:hAnsi="Tahoma"/>
          <w:w w:val="95"/>
        </w:rPr>
        <w:t>totaling</w:t>
      </w:r>
      <w:r>
        <w:rPr>
          <w:rFonts w:ascii="Tahoma" w:hAnsi="Tahoma"/>
          <w:spacing w:val="-28"/>
          <w:w w:val="95"/>
        </w:rPr>
        <w:t> </w:t>
      </w:r>
      <w:r>
        <w:rPr>
          <w:rFonts w:ascii="Tahoma" w:hAnsi="Tahoma"/>
          <w:w w:val="95"/>
        </w:rPr>
        <w:t>17</w:t>
      </w:r>
      <w:r>
        <w:rPr>
          <w:rFonts w:ascii="Tahoma" w:hAnsi="Tahoma"/>
          <w:spacing w:val="-29"/>
          <w:w w:val="95"/>
        </w:rPr>
        <w:t> </w:t>
      </w:r>
      <w:r>
        <w:rPr>
          <w:rFonts w:ascii="Tahoma" w:hAnsi="Tahoma"/>
          <w:w w:val="95"/>
        </w:rPr>
        <w:t>meetings</w:t>
      </w:r>
      <w:r>
        <w:rPr>
          <w:rFonts w:ascii="Tahoma" w:hAnsi="Tahoma"/>
          <w:spacing w:val="-29"/>
          <w:w w:val="95"/>
        </w:rPr>
        <w:t> </w:t>
      </w:r>
      <w:r>
        <w:rPr>
          <w:rFonts w:ascii="Tahoma" w:hAnsi="Tahoma"/>
          <w:w w:val="95"/>
        </w:rPr>
        <w:t>–</w:t>
      </w:r>
      <w:r>
        <w:rPr>
          <w:rFonts w:ascii="Tahoma" w:hAnsi="Tahoma"/>
          <w:spacing w:val="-29"/>
          <w:w w:val="95"/>
        </w:rPr>
        <w:t> </w:t>
      </w:r>
      <w:r>
        <w:rPr>
          <w:rFonts w:ascii="Tahoma" w:hAnsi="Tahoma"/>
          <w:w w:val="95"/>
        </w:rPr>
        <w:t>each</w:t>
      </w:r>
      <w:r>
        <w:rPr>
          <w:rFonts w:ascii="Tahoma" w:hAnsi="Tahoma"/>
          <w:spacing w:val="-29"/>
          <w:w w:val="95"/>
        </w:rPr>
        <w:t> </w:t>
      </w:r>
      <w:r>
        <w:rPr>
          <w:rFonts w:ascii="Tahoma" w:hAnsi="Tahoma"/>
          <w:w w:val="95"/>
        </w:rPr>
        <w:t>at</w:t>
      </w:r>
      <w:r>
        <w:rPr>
          <w:rFonts w:ascii="Tahoma" w:hAnsi="Tahoma"/>
          <w:spacing w:val="-29"/>
          <w:w w:val="95"/>
        </w:rPr>
        <w:t> </w:t>
      </w:r>
      <w:r>
        <w:rPr>
          <w:rFonts w:ascii="Tahoma" w:hAnsi="Tahoma"/>
          <w:w w:val="95"/>
        </w:rPr>
        <w:t>various</w:t>
      </w:r>
      <w:r>
        <w:rPr>
          <w:rFonts w:ascii="Tahoma" w:hAnsi="Tahoma"/>
          <w:spacing w:val="-30"/>
          <w:w w:val="95"/>
        </w:rPr>
        <w:t> </w:t>
      </w:r>
      <w:r>
        <w:rPr>
          <w:rFonts w:ascii="Tahoma" w:hAnsi="Tahoma"/>
          <w:w w:val="95"/>
        </w:rPr>
        <w:t>locations</w:t>
      </w:r>
      <w:r>
        <w:rPr>
          <w:rFonts w:ascii="Tahoma" w:hAnsi="Tahoma"/>
          <w:spacing w:val="-29"/>
          <w:w w:val="95"/>
        </w:rPr>
        <w:t> </w:t>
      </w:r>
      <w:r>
        <w:rPr>
          <w:rFonts w:ascii="Tahoma" w:hAnsi="Tahoma"/>
          <w:w w:val="95"/>
        </w:rPr>
        <w:t>throughout</w:t>
      </w:r>
      <w:r>
        <w:rPr>
          <w:rFonts w:ascii="Tahoma" w:hAnsi="Tahoma"/>
          <w:spacing w:val="-29"/>
          <w:w w:val="95"/>
        </w:rPr>
        <w:t> </w:t>
      </w:r>
      <w:r>
        <w:rPr>
          <w:rFonts w:ascii="Tahoma" w:hAnsi="Tahoma"/>
          <w:w w:val="95"/>
        </w:rPr>
        <w:t>the</w:t>
      </w:r>
      <w:r>
        <w:rPr>
          <w:rFonts w:ascii="Tahoma" w:hAnsi="Tahoma"/>
          <w:spacing w:val="-29"/>
          <w:w w:val="95"/>
        </w:rPr>
        <w:t> </w:t>
      </w:r>
      <w:r>
        <w:rPr>
          <w:rFonts w:ascii="Tahoma" w:hAnsi="Tahoma"/>
          <w:w w:val="95"/>
        </w:rPr>
        <w:t>county.</w:t>
      </w:r>
      <w:r>
        <w:rPr>
          <w:rFonts w:ascii="Tahoma" w:hAnsi="Tahoma"/>
          <w:spacing w:val="-28"/>
          <w:w w:val="95"/>
        </w:rPr>
        <w:t> </w:t>
      </w:r>
      <w:r>
        <w:rPr>
          <w:rFonts w:ascii="Tahoma" w:hAnsi="Tahoma"/>
          <w:w w:val="95"/>
        </w:rPr>
        <w:t>An</w:t>
      </w:r>
      <w:r>
        <w:rPr>
          <w:rFonts w:ascii="Tahoma" w:hAnsi="Tahoma"/>
          <w:spacing w:val="-27"/>
          <w:w w:val="95"/>
        </w:rPr>
        <w:t> </w:t>
      </w:r>
      <w:r>
        <w:rPr>
          <w:rFonts w:ascii="Tahoma" w:hAnsi="Tahoma"/>
          <w:w w:val="95"/>
        </w:rPr>
        <w:t>Envision</w:t>
      </w:r>
      <w:r>
        <w:rPr>
          <w:rFonts w:ascii="Tahoma" w:hAnsi="Tahoma"/>
          <w:spacing w:val="-29"/>
          <w:w w:val="95"/>
        </w:rPr>
        <w:t> </w:t>
      </w:r>
      <w:r>
        <w:rPr>
          <w:rFonts w:ascii="Tahoma" w:hAnsi="Tahoma"/>
          <w:w w:val="95"/>
        </w:rPr>
        <w:t>Loudoun </w:t>
      </w:r>
      <w:r>
        <w:rPr>
          <w:rFonts w:ascii="Tahoma" w:hAnsi="Tahoma"/>
        </w:rPr>
        <w:t>website</w:t>
      </w:r>
      <w:r>
        <w:rPr>
          <w:rFonts w:ascii="Tahoma" w:hAnsi="Tahoma"/>
          <w:spacing w:val="-9"/>
        </w:rPr>
        <w:t> </w:t>
      </w:r>
      <w:r>
        <w:rPr>
          <w:rFonts w:ascii="Tahoma" w:hAnsi="Tahoma"/>
        </w:rPr>
        <w:t>was</w:t>
      </w:r>
      <w:r>
        <w:rPr>
          <w:rFonts w:ascii="Tahoma" w:hAnsi="Tahoma"/>
          <w:spacing w:val="-9"/>
        </w:rPr>
        <w:t> </w:t>
      </w:r>
      <w:r>
        <w:rPr>
          <w:rFonts w:ascii="Tahoma" w:hAnsi="Tahoma"/>
        </w:rPr>
        <w:t>established</w:t>
      </w:r>
      <w:r>
        <w:rPr>
          <w:rFonts w:ascii="Tahoma" w:hAnsi="Tahoma"/>
          <w:spacing w:val="-9"/>
        </w:rPr>
        <w:t> </w:t>
      </w:r>
      <w:r>
        <w:rPr>
          <w:rFonts w:ascii="Tahoma" w:hAnsi="Tahoma"/>
        </w:rPr>
        <w:t>and</w:t>
      </w:r>
      <w:r>
        <w:rPr>
          <w:rFonts w:ascii="Tahoma" w:hAnsi="Tahoma"/>
          <w:spacing w:val="-9"/>
        </w:rPr>
        <w:t> </w:t>
      </w:r>
      <w:r>
        <w:rPr>
          <w:rFonts w:ascii="Tahoma" w:hAnsi="Tahoma"/>
        </w:rPr>
        <w:t>kept</w:t>
      </w:r>
      <w:r>
        <w:rPr>
          <w:rFonts w:ascii="Tahoma" w:hAnsi="Tahoma"/>
          <w:spacing w:val="-9"/>
        </w:rPr>
        <w:t> </w:t>
      </w:r>
      <w:r>
        <w:rPr>
          <w:rFonts w:ascii="Tahoma" w:hAnsi="Tahoma"/>
        </w:rPr>
        <w:t>up-to-date</w:t>
      </w:r>
      <w:r>
        <w:rPr>
          <w:rFonts w:ascii="Tahoma" w:hAnsi="Tahoma"/>
          <w:spacing w:val="-10"/>
        </w:rPr>
        <w:t> </w:t>
      </w:r>
      <w:r>
        <w:rPr>
          <w:rFonts w:ascii="Tahoma" w:hAnsi="Tahoma"/>
        </w:rPr>
        <w:t>with</w:t>
      </w:r>
      <w:r>
        <w:rPr>
          <w:rFonts w:ascii="Tahoma" w:hAnsi="Tahoma"/>
          <w:spacing w:val="-9"/>
        </w:rPr>
        <w:t> </w:t>
      </w:r>
      <w:r>
        <w:rPr>
          <w:rFonts w:ascii="Tahoma" w:hAnsi="Tahoma"/>
        </w:rPr>
        <w:t>maps,</w:t>
      </w:r>
      <w:r>
        <w:rPr>
          <w:rFonts w:ascii="Tahoma" w:hAnsi="Tahoma"/>
          <w:spacing w:val="-9"/>
        </w:rPr>
        <w:t> </w:t>
      </w:r>
      <w:r>
        <w:rPr>
          <w:rFonts w:ascii="Tahoma" w:hAnsi="Tahoma"/>
        </w:rPr>
        <w:t>process</w:t>
      </w:r>
      <w:r>
        <w:rPr>
          <w:rFonts w:ascii="Tahoma" w:hAnsi="Tahoma"/>
          <w:spacing w:val="-9"/>
        </w:rPr>
        <w:t> </w:t>
      </w:r>
      <w:r>
        <w:rPr>
          <w:rFonts w:ascii="Tahoma" w:hAnsi="Tahoma"/>
        </w:rPr>
        <w:t>updates,</w:t>
      </w:r>
      <w:r>
        <w:rPr>
          <w:rFonts w:ascii="Tahoma" w:hAnsi="Tahoma"/>
          <w:spacing w:val="-9"/>
        </w:rPr>
        <w:t> </w:t>
      </w:r>
      <w:r>
        <w:rPr>
          <w:rFonts w:ascii="Tahoma" w:hAnsi="Tahoma"/>
        </w:rPr>
        <w:t>and</w:t>
      </w:r>
      <w:r>
        <w:rPr>
          <w:rFonts w:ascii="Tahoma" w:hAnsi="Tahoma"/>
          <w:spacing w:val="-7"/>
        </w:rPr>
        <w:t> </w:t>
      </w:r>
      <w:r>
        <w:rPr>
          <w:rFonts w:ascii="Tahoma" w:hAnsi="Tahoma"/>
        </w:rPr>
        <w:t>project </w:t>
      </w:r>
      <w:r>
        <w:rPr>
          <w:rFonts w:ascii="Tahoma" w:hAnsi="Tahoma"/>
          <w:w w:val="95"/>
        </w:rPr>
        <w:t>documents.</w:t>
      </w:r>
      <w:r>
        <w:rPr>
          <w:rFonts w:ascii="Tahoma" w:hAnsi="Tahoma"/>
          <w:spacing w:val="-26"/>
          <w:w w:val="95"/>
        </w:rPr>
        <w:t> </w:t>
      </w:r>
      <w:r>
        <w:rPr>
          <w:rFonts w:ascii="Tahoma" w:hAnsi="Tahoma"/>
          <w:w w:val="95"/>
        </w:rPr>
        <w:t>The</w:t>
      </w:r>
      <w:r>
        <w:rPr>
          <w:rFonts w:ascii="Tahoma" w:hAnsi="Tahoma"/>
          <w:spacing w:val="-26"/>
          <w:w w:val="95"/>
        </w:rPr>
        <w:t> </w:t>
      </w:r>
      <w:r>
        <w:rPr>
          <w:rFonts w:ascii="Tahoma" w:hAnsi="Tahoma"/>
          <w:w w:val="95"/>
        </w:rPr>
        <w:t>website</w:t>
      </w:r>
      <w:r>
        <w:rPr>
          <w:rFonts w:ascii="Tahoma" w:hAnsi="Tahoma"/>
          <w:spacing w:val="-25"/>
          <w:w w:val="95"/>
        </w:rPr>
        <w:t> </w:t>
      </w:r>
      <w:r>
        <w:rPr>
          <w:rFonts w:ascii="Tahoma" w:hAnsi="Tahoma"/>
          <w:w w:val="95"/>
        </w:rPr>
        <w:t>also</w:t>
      </w:r>
      <w:r>
        <w:rPr>
          <w:rFonts w:ascii="Tahoma" w:hAnsi="Tahoma"/>
          <w:spacing w:val="-26"/>
          <w:w w:val="95"/>
        </w:rPr>
        <w:t> </w:t>
      </w:r>
      <w:r>
        <w:rPr>
          <w:rFonts w:ascii="Tahoma" w:hAnsi="Tahoma"/>
          <w:w w:val="95"/>
        </w:rPr>
        <w:t>provided</w:t>
      </w:r>
      <w:r>
        <w:rPr>
          <w:rFonts w:ascii="Tahoma" w:hAnsi="Tahoma"/>
          <w:spacing w:val="-26"/>
          <w:w w:val="95"/>
        </w:rPr>
        <w:t> </w:t>
      </w:r>
      <w:r>
        <w:rPr>
          <w:rFonts w:ascii="Tahoma" w:hAnsi="Tahoma"/>
          <w:w w:val="95"/>
        </w:rPr>
        <w:t>a</w:t>
      </w:r>
      <w:r>
        <w:rPr>
          <w:rFonts w:ascii="Tahoma" w:hAnsi="Tahoma"/>
          <w:spacing w:val="-26"/>
          <w:w w:val="95"/>
        </w:rPr>
        <w:t> </w:t>
      </w:r>
      <w:r>
        <w:rPr>
          <w:rFonts w:ascii="Tahoma" w:hAnsi="Tahoma"/>
          <w:w w:val="95"/>
        </w:rPr>
        <w:t>web</w:t>
      </w:r>
      <w:r>
        <w:rPr>
          <w:rFonts w:ascii="Tahoma" w:hAnsi="Tahoma"/>
          <w:spacing w:val="-26"/>
          <w:w w:val="95"/>
        </w:rPr>
        <w:t> </w:t>
      </w:r>
      <w:r>
        <w:rPr>
          <w:rFonts w:ascii="Tahoma" w:hAnsi="Tahoma"/>
          <w:w w:val="95"/>
        </w:rPr>
        <w:t>interface</w:t>
      </w:r>
      <w:r>
        <w:rPr>
          <w:rFonts w:ascii="Tahoma" w:hAnsi="Tahoma"/>
          <w:spacing w:val="-26"/>
          <w:w w:val="95"/>
        </w:rPr>
        <w:t> </w:t>
      </w:r>
      <w:r>
        <w:rPr>
          <w:rFonts w:ascii="Tahoma" w:hAnsi="Tahoma"/>
          <w:w w:val="95"/>
        </w:rPr>
        <w:t>for</w:t>
      </w:r>
      <w:r>
        <w:rPr>
          <w:rFonts w:ascii="Tahoma" w:hAnsi="Tahoma"/>
          <w:spacing w:val="-26"/>
          <w:w w:val="95"/>
        </w:rPr>
        <w:t> </w:t>
      </w:r>
      <w:r>
        <w:rPr>
          <w:rFonts w:ascii="Tahoma" w:hAnsi="Tahoma"/>
          <w:w w:val="95"/>
        </w:rPr>
        <w:t>citizens</w:t>
      </w:r>
      <w:r>
        <w:rPr>
          <w:rFonts w:ascii="Tahoma" w:hAnsi="Tahoma"/>
          <w:spacing w:val="-27"/>
          <w:w w:val="95"/>
        </w:rPr>
        <w:t> </w:t>
      </w:r>
      <w:r>
        <w:rPr>
          <w:rFonts w:ascii="Tahoma" w:hAnsi="Tahoma"/>
          <w:w w:val="95"/>
        </w:rPr>
        <w:t>to</w:t>
      </w:r>
      <w:r>
        <w:rPr>
          <w:rFonts w:ascii="Tahoma" w:hAnsi="Tahoma"/>
          <w:spacing w:val="-27"/>
          <w:w w:val="95"/>
        </w:rPr>
        <w:t> </w:t>
      </w:r>
      <w:r>
        <w:rPr>
          <w:rFonts w:ascii="Tahoma" w:hAnsi="Tahoma"/>
          <w:w w:val="95"/>
        </w:rPr>
        <w:t>provide</w:t>
      </w:r>
      <w:r>
        <w:rPr>
          <w:rFonts w:ascii="Tahoma" w:hAnsi="Tahoma"/>
          <w:spacing w:val="-26"/>
          <w:w w:val="95"/>
        </w:rPr>
        <w:t> </w:t>
      </w:r>
      <w:r>
        <w:rPr>
          <w:rFonts w:ascii="Tahoma" w:hAnsi="Tahoma"/>
          <w:w w:val="95"/>
        </w:rPr>
        <w:t>input</w:t>
      </w:r>
      <w:r>
        <w:rPr>
          <w:rFonts w:ascii="Tahoma" w:hAnsi="Tahoma"/>
          <w:spacing w:val="-27"/>
          <w:w w:val="95"/>
        </w:rPr>
        <w:t> </w:t>
      </w:r>
      <w:r>
        <w:rPr>
          <w:rFonts w:ascii="Tahoma" w:hAnsi="Tahoma"/>
          <w:w w:val="95"/>
        </w:rPr>
        <w:t>regarding the</w:t>
      </w:r>
      <w:r>
        <w:rPr>
          <w:rFonts w:ascii="Tahoma" w:hAnsi="Tahoma"/>
          <w:spacing w:val="-23"/>
          <w:w w:val="95"/>
        </w:rPr>
        <w:t> </w:t>
      </w:r>
      <w:r>
        <w:rPr>
          <w:rFonts w:ascii="Tahoma" w:hAnsi="Tahoma"/>
          <w:w w:val="95"/>
        </w:rPr>
        <w:t>key</w:t>
      </w:r>
      <w:r>
        <w:rPr>
          <w:rFonts w:ascii="Tahoma" w:hAnsi="Tahoma"/>
          <w:spacing w:val="-24"/>
          <w:w w:val="95"/>
        </w:rPr>
        <w:t> </w:t>
      </w:r>
      <w:r>
        <w:rPr>
          <w:rFonts w:ascii="Tahoma" w:hAnsi="Tahoma"/>
          <w:w w:val="95"/>
        </w:rPr>
        <w:t>issues</w:t>
      </w:r>
      <w:r>
        <w:rPr>
          <w:rFonts w:ascii="Tahoma" w:hAnsi="Tahoma"/>
          <w:spacing w:val="-23"/>
          <w:w w:val="95"/>
        </w:rPr>
        <w:t> </w:t>
      </w:r>
      <w:r>
        <w:rPr>
          <w:rFonts w:ascii="Tahoma" w:hAnsi="Tahoma"/>
          <w:w w:val="95"/>
        </w:rPr>
        <w:t>to</w:t>
      </w:r>
      <w:r>
        <w:rPr>
          <w:rFonts w:ascii="Tahoma" w:hAnsi="Tahoma"/>
          <w:spacing w:val="-23"/>
          <w:w w:val="95"/>
        </w:rPr>
        <w:t> </w:t>
      </w:r>
      <w:r>
        <w:rPr>
          <w:rFonts w:ascii="Tahoma" w:hAnsi="Tahoma"/>
          <w:w w:val="95"/>
        </w:rPr>
        <w:t>be</w:t>
      </w:r>
      <w:r>
        <w:rPr>
          <w:rFonts w:ascii="Tahoma" w:hAnsi="Tahoma"/>
          <w:spacing w:val="-23"/>
          <w:w w:val="95"/>
        </w:rPr>
        <w:t> </w:t>
      </w:r>
      <w:r>
        <w:rPr>
          <w:rFonts w:ascii="Tahoma" w:hAnsi="Tahoma"/>
          <w:w w:val="95"/>
        </w:rPr>
        <w:t>addressed</w:t>
      </w:r>
      <w:r>
        <w:rPr>
          <w:rFonts w:ascii="Tahoma" w:hAnsi="Tahoma"/>
          <w:spacing w:val="-23"/>
          <w:w w:val="95"/>
        </w:rPr>
        <w:t> </w:t>
      </w:r>
      <w:r>
        <w:rPr>
          <w:rFonts w:ascii="Tahoma" w:hAnsi="Tahoma"/>
          <w:w w:val="95"/>
        </w:rPr>
        <w:t>in</w:t>
      </w:r>
      <w:r>
        <w:rPr>
          <w:rFonts w:ascii="Tahoma" w:hAnsi="Tahoma"/>
          <w:spacing w:val="-23"/>
          <w:w w:val="95"/>
        </w:rPr>
        <w:t> </w:t>
      </w:r>
      <w:r>
        <w:rPr>
          <w:rFonts w:ascii="Tahoma" w:hAnsi="Tahoma"/>
          <w:w w:val="95"/>
        </w:rPr>
        <w:t>the</w:t>
      </w:r>
      <w:r>
        <w:rPr>
          <w:rFonts w:ascii="Tahoma" w:hAnsi="Tahoma"/>
          <w:spacing w:val="-21"/>
          <w:w w:val="95"/>
        </w:rPr>
        <w:t> </w:t>
      </w:r>
      <w:r>
        <w:rPr>
          <w:rFonts w:ascii="Tahoma" w:hAnsi="Tahoma"/>
          <w:w w:val="95"/>
        </w:rPr>
        <w:t>new</w:t>
      </w:r>
      <w:r>
        <w:rPr>
          <w:rFonts w:ascii="Tahoma" w:hAnsi="Tahoma"/>
          <w:spacing w:val="-23"/>
          <w:w w:val="95"/>
        </w:rPr>
        <w:t> </w:t>
      </w:r>
      <w:r>
        <w:rPr>
          <w:rFonts w:ascii="Tahoma" w:hAnsi="Tahoma"/>
          <w:w w:val="95"/>
        </w:rPr>
        <w:t>comprehensive</w:t>
      </w:r>
      <w:r>
        <w:rPr>
          <w:rFonts w:ascii="Tahoma" w:hAnsi="Tahoma"/>
          <w:spacing w:val="-23"/>
          <w:w w:val="95"/>
        </w:rPr>
        <w:t> </w:t>
      </w:r>
      <w:r>
        <w:rPr>
          <w:rFonts w:ascii="Tahoma" w:hAnsi="Tahoma"/>
          <w:w w:val="95"/>
        </w:rPr>
        <w:t>plan.</w:t>
      </w:r>
      <w:r>
        <w:rPr>
          <w:rFonts w:ascii="Tahoma" w:hAnsi="Tahoma"/>
          <w:spacing w:val="-24"/>
          <w:w w:val="95"/>
        </w:rPr>
        <w:t> </w:t>
      </w:r>
      <w:r>
        <w:rPr>
          <w:rFonts w:ascii="Tahoma" w:hAnsi="Tahoma"/>
          <w:w w:val="95"/>
        </w:rPr>
        <w:t>All</w:t>
      </w:r>
      <w:r>
        <w:rPr>
          <w:rFonts w:ascii="Tahoma" w:hAnsi="Tahoma"/>
          <w:spacing w:val="-24"/>
          <w:w w:val="95"/>
        </w:rPr>
        <w:t> </w:t>
      </w:r>
      <w:r>
        <w:rPr>
          <w:rFonts w:ascii="Tahoma" w:hAnsi="Tahoma"/>
          <w:w w:val="95"/>
        </w:rPr>
        <w:t>told,</w:t>
      </w:r>
      <w:r>
        <w:rPr>
          <w:rFonts w:ascii="Tahoma" w:hAnsi="Tahoma"/>
          <w:spacing w:val="-24"/>
          <w:w w:val="95"/>
        </w:rPr>
        <w:t> </w:t>
      </w:r>
      <w:r>
        <w:rPr>
          <w:rFonts w:ascii="Tahoma" w:hAnsi="Tahoma"/>
          <w:w w:val="95"/>
        </w:rPr>
        <w:t>approximately</w:t>
      </w:r>
      <w:r>
        <w:rPr>
          <w:rFonts w:ascii="Tahoma" w:hAnsi="Tahoma"/>
          <w:spacing w:val="-23"/>
          <w:w w:val="95"/>
        </w:rPr>
        <w:t> </w:t>
      </w:r>
      <w:r>
        <w:rPr>
          <w:rFonts w:ascii="Tahoma" w:hAnsi="Tahoma"/>
          <w:w w:val="95"/>
        </w:rPr>
        <w:t>3,000 </w:t>
      </w:r>
      <w:r>
        <w:rPr>
          <w:rFonts w:ascii="Tahoma" w:hAnsi="Tahoma"/>
        </w:rPr>
        <w:t>people</w:t>
      </w:r>
      <w:r>
        <w:rPr>
          <w:rFonts w:ascii="Tahoma" w:hAnsi="Tahoma"/>
          <w:spacing w:val="-15"/>
        </w:rPr>
        <w:t> </w:t>
      </w:r>
      <w:r>
        <w:rPr>
          <w:rFonts w:ascii="Tahoma" w:hAnsi="Tahoma"/>
        </w:rPr>
        <w:t>participated</w:t>
      </w:r>
      <w:r>
        <w:rPr>
          <w:rFonts w:ascii="Tahoma" w:hAnsi="Tahoma"/>
          <w:spacing w:val="-16"/>
        </w:rPr>
        <w:t> </w:t>
      </w:r>
      <w:r>
        <w:rPr>
          <w:rFonts w:ascii="Tahoma" w:hAnsi="Tahoma"/>
        </w:rPr>
        <w:t>in</w:t>
      </w:r>
      <w:r>
        <w:rPr>
          <w:rFonts w:ascii="Tahoma" w:hAnsi="Tahoma"/>
          <w:spacing w:val="-17"/>
        </w:rPr>
        <w:t> </w:t>
      </w:r>
      <w:r>
        <w:rPr>
          <w:rFonts w:ascii="Tahoma" w:hAnsi="Tahoma"/>
        </w:rPr>
        <w:t>the</w:t>
      </w:r>
      <w:r>
        <w:rPr>
          <w:rFonts w:ascii="Tahoma" w:hAnsi="Tahoma"/>
          <w:spacing w:val="-16"/>
        </w:rPr>
        <w:t> </w:t>
      </w:r>
      <w:r>
        <w:rPr>
          <w:rFonts w:ascii="Tahoma" w:hAnsi="Tahoma"/>
        </w:rPr>
        <w:t>Envision</w:t>
      </w:r>
      <w:r>
        <w:rPr>
          <w:rFonts w:ascii="Tahoma" w:hAnsi="Tahoma"/>
          <w:spacing w:val="-16"/>
        </w:rPr>
        <w:t> </w:t>
      </w:r>
      <w:r>
        <w:rPr>
          <w:rFonts w:ascii="Tahoma" w:hAnsi="Tahoma"/>
        </w:rPr>
        <w:t>Loudoun</w:t>
      </w:r>
      <w:r>
        <w:rPr>
          <w:rFonts w:ascii="Tahoma" w:hAnsi="Tahoma"/>
          <w:spacing w:val="-16"/>
        </w:rPr>
        <w:t> </w:t>
      </w:r>
      <w:r>
        <w:rPr>
          <w:rFonts w:ascii="Tahoma" w:hAnsi="Tahoma"/>
        </w:rPr>
        <w:t>process.</w:t>
      </w:r>
    </w:p>
    <w:p>
      <w:pPr>
        <w:spacing w:after="0" w:line="230" w:lineRule="auto"/>
        <w:jc w:val="both"/>
        <w:rPr>
          <w:rFonts w:ascii="Tahoma" w:hAnsi="Tahoma"/>
        </w:rPr>
        <w:sectPr>
          <w:pgSz w:w="12240" w:h="15840"/>
          <w:pgMar w:header="719" w:footer="1016" w:top="920" w:bottom="1200" w:left="600" w:right="600"/>
        </w:sectPr>
      </w:pPr>
    </w:p>
    <w:p>
      <w:pPr>
        <w:pStyle w:val="BodyText"/>
        <w:rPr>
          <w:rFonts w:ascii="Tahoma"/>
          <w:sz w:val="20"/>
        </w:rPr>
      </w:pPr>
    </w:p>
    <w:p>
      <w:pPr>
        <w:pStyle w:val="Heading1"/>
        <w:spacing w:before="261"/>
      </w:pPr>
      <w:bookmarkStart w:name="_TOC_250005" w:id="1"/>
      <w:bookmarkEnd w:id="1"/>
      <w:r>
        <w:rPr>
          <w:w w:val="95"/>
        </w:rPr>
        <w:t>Purpose and Definition</w:t>
      </w:r>
    </w:p>
    <w:p>
      <w:pPr>
        <w:pStyle w:val="BodyText"/>
        <w:spacing w:line="259" w:lineRule="auto" w:before="26"/>
        <w:ind w:left="840" w:right="835"/>
        <w:jc w:val="both"/>
      </w:pPr>
      <w:r>
        <w:rPr>
          <w:i/>
        </w:rPr>
        <w:t>Loudoun 2040 </w:t>
      </w:r>
      <w:r>
        <w:rPr/>
        <w:t>includes this </w:t>
      </w:r>
      <w:r>
        <w:rPr>
          <w:i/>
        </w:rPr>
        <w:t>General Plan </w:t>
      </w:r>
      <w:r>
        <w:rPr/>
        <w:t>and the </w:t>
      </w:r>
      <w:r>
        <w:rPr>
          <w:i/>
        </w:rPr>
        <w:t>Countywide Transportation Plan</w:t>
      </w:r>
      <w:r>
        <w:rPr/>
        <w:t>, a standalone document developed in close coordination with this plan. </w:t>
      </w:r>
      <w:r>
        <w:rPr>
          <w:i/>
        </w:rPr>
        <w:t>Loudoun 2040 </w:t>
      </w:r>
      <w:r>
        <w:rPr/>
        <w:t>is not a development ordinance, but is instead a “blueprint” document that provides guidance for elected officials and other governmental decision-makers as to where and how the community will grow in the long- term.</w:t>
      </w:r>
    </w:p>
    <w:p>
      <w:pPr>
        <w:pStyle w:val="BodyText"/>
        <w:spacing w:line="259" w:lineRule="auto" w:before="161"/>
        <w:ind w:left="840" w:right="835"/>
        <w:jc w:val="both"/>
      </w:pPr>
      <w:r>
        <w:rPr/>
        <w:pict>
          <v:shape style="position:absolute;margin-left:90.066002pt;margin-top:19.143101pt;width:395.3pt;height:419pt;mso-position-horizontal-relative:page;mso-position-vertical-relative:paragraph;z-index:-17992" coordorigin="1801,383" coordsize="7906,8380" path="m4498,7647l4492,7573,4477,7495,4455,7412,4432,7343,4402,7271,4367,7196,4325,7118,4276,7037,4236,6978,4200,6928,4200,7613,4197,7670,4185,7726,4167,7784,4138,7844,4097,7906,4044,7972,3979,8042,3674,8347,2216,6889,2517,6589,2598,6513,2672,6453,2740,6409,2801,6383,2868,6368,2941,6364,3020,6371,3105,6389,3195,6418,3255,6444,3317,6476,3380,6514,3446,6559,3514,6611,3584,6669,3656,6734,3729,6805,3789,6867,3844,6927,3896,6986,3943,7044,3986,7100,4024,7156,4059,7209,4101,7284,4136,7356,4163,7426,4183,7493,4196,7557,4200,7613,4200,6928,4194,6919,4148,6859,4098,6798,4045,6737,3989,6676,3929,6614,3865,6552,3801,6493,3737,6438,3673,6387,3643,6364,3609,6339,3546,6294,3482,6253,3419,6215,3346,6178,3274,6145,3203,6118,3132,6096,3062,6079,2992,6067,2923,6060,2850,6058,2779,6065,2709,6080,2642,6103,2577,6133,2528,6161,2476,6198,2420,6244,2359,6298,2294,6361,1801,6854,3710,8762,4124,8347,4226,8245,4287,8180,4341,8115,4386,8049,4424,7982,4454,7916,4476,7850,4491,7783,4498,7715,4498,7647m6418,6053l6056,5926,5650,5783,5561,5754,5475,5730,5393,5711,5364,5705,5314,5696,5239,5686,5193,5685,5143,5688,5089,5695,5030,5705,5074,5636,5109,5566,5136,5497,5154,5428,5164,5360,5165,5292,5157,5224,5139,5146,5111,5070,5075,4995,5030,4922,4976,4852,4956,4829,4913,4783,4872,4745,4872,5302,4868,5358,4854,5413,4830,5469,4794,5528,4747,5589,4687,5652,4413,5926,4280,6059,3649,5428,4102,4975,4166,4918,4229,4875,4293,4845,4358,4830,4422,4829,4501,4844,4577,4874,4649,4919,4718,4978,4761,5026,4797,5077,4827,5130,4851,5187,4867,5245,4872,5302,4872,4745,4849,4723,4782,4671,4713,4626,4641,4587,4566,4555,4474,4527,4386,4514,4303,4516,4225,4532,4163,4557,4098,4593,4030,4641,3958,4701,3883,4772,3248,5407,5157,7315,5346,7125,4499,6278,4718,6059,4753,6025,4783,5997,4810,5976,4833,5962,4863,5948,4896,5938,4932,5930,4971,5926,5014,5926,5066,5931,5125,5941,5194,5958,5256,5975,5328,5996,5407,6021,5496,6050,6180,6291,6418,6053m7780,4691l7415,4496,6555,4042,6555,4349,6070,4834,5989,4691,5748,4260,5708,4189,5668,4117,5629,4052,5590,3987,5550,3923,5509,3860,5467,3798,5424,3736,5380,3676,5436,3711,5498,3749,5564,3789,5635,3831,5792,3922,6555,4349,6555,4042,5862,3676,5286,3369,5082,3573,5277,3923,5316,3994,5701,4691,6168,5540,6441,6031,6642,5830,6565,5696,6298,5228,6221,5094,6481,4834,6820,4496,7565,4907,7780,4691m8131,4341l7264,3474,7489,3248,7936,2802,7711,2577,7039,3248,6448,2658,7224,1881,6999,1656,6033,2622,7941,4530,8131,4341m9707,2765l8213,1271,8024,1082,8497,608,8272,383,7138,1517,7363,1743,7834,1271,9517,2954,9707,2765e" filled="true" fillcolor="#c0c0c0" stroked="false">
            <v:path arrowok="t"/>
            <v:fill opacity="32896f" type="solid"/>
            <w10:wrap type="none"/>
          </v:shape>
        </w:pict>
      </w:r>
      <w:r>
        <w:rPr/>
        <w:t>Comprehensive</w:t>
      </w:r>
      <w:r>
        <w:rPr>
          <w:spacing w:val="-16"/>
        </w:rPr>
        <w:t> </w:t>
      </w:r>
      <w:r>
        <w:rPr/>
        <w:t>plans</w:t>
      </w:r>
      <w:r>
        <w:rPr>
          <w:spacing w:val="-16"/>
        </w:rPr>
        <w:t> </w:t>
      </w:r>
      <w:r>
        <w:rPr/>
        <w:t>provide</w:t>
      </w:r>
      <w:r>
        <w:rPr>
          <w:spacing w:val="-16"/>
        </w:rPr>
        <w:t> </w:t>
      </w:r>
      <w:r>
        <w:rPr/>
        <w:t>an</w:t>
      </w:r>
      <w:r>
        <w:rPr>
          <w:spacing w:val="-16"/>
        </w:rPr>
        <w:t> </w:t>
      </w:r>
      <w:r>
        <w:rPr/>
        <w:t>opportunity</w:t>
      </w:r>
      <w:r>
        <w:rPr>
          <w:spacing w:val="-18"/>
        </w:rPr>
        <w:t> </w:t>
      </w:r>
      <w:r>
        <w:rPr/>
        <w:t>for</w:t>
      </w:r>
      <w:r>
        <w:rPr>
          <w:spacing w:val="-17"/>
        </w:rPr>
        <w:t> </w:t>
      </w:r>
      <w:r>
        <w:rPr/>
        <w:t>communities</w:t>
      </w:r>
      <w:r>
        <w:rPr>
          <w:spacing w:val="-16"/>
        </w:rPr>
        <w:t> </w:t>
      </w:r>
      <w:r>
        <w:rPr/>
        <w:t>to</w:t>
      </w:r>
      <w:r>
        <w:rPr>
          <w:spacing w:val="-15"/>
        </w:rPr>
        <w:t> </w:t>
      </w:r>
      <w:r>
        <w:rPr/>
        <w:t>think</w:t>
      </w:r>
      <w:r>
        <w:rPr>
          <w:spacing w:val="-16"/>
        </w:rPr>
        <w:t> </w:t>
      </w:r>
      <w:r>
        <w:rPr/>
        <w:t>collectively</w:t>
      </w:r>
      <w:r>
        <w:rPr>
          <w:spacing w:val="-21"/>
        </w:rPr>
        <w:t> </w:t>
      </w:r>
      <w:r>
        <w:rPr/>
        <w:t>about</w:t>
      </w:r>
      <w:r>
        <w:rPr>
          <w:spacing w:val="-15"/>
        </w:rPr>
        <w:t> </w:t>
      </w:r>
      <w:r>
        <w:rPr/>
        <w:t>the</w:t>
      </w:r>
      <w:r>
        <w:rPr>
          <w:spacing w:val="-14"/>
        </w:rPr>
        <w:t> </w:t>
      </w:r>
      <w:r>
        <w:rPr/>
        <w:t>future of their community and to develop a shared set of values and strategies intended to achieve a unified vision. They are critical tools for managing growth, the provision of capital facilities, and the fiscal health of communities. They are especially important for high growth communities like Loudoun</w:t>
      </w:r>
      <w:r>
        <w:rPr>
          <w:spacing w:val="-7"/>
        </w:rPr>
        <w:t> </w:t>
      </w:r>
      <w:r>
        <w:rPr/>
        <w:t>County,</w:t>
      </w:r>
      <w:r>
        <w:rPr>
          <w:spacing w:val="-7"/>
        </w:rPr>
        <w:t> </w:t>
      </w:r>
      <w:r>
        <w:rPr/>
        <w:t>where</w:t>
      </w:r>
      <w:r>
        <w:rPr>
          <w:spacing w:val="-7"/>
        </w:rPr>
        <w:t> </w:t>
      </w:r>
      <w:r>
        <w:rPr/>
        <w:t>change</w:t>
      </w:r>
      <w:r>
        <w:rPr>
          <w:spacing w:val="-6"/>
        </w:rPr>
        <w:t> </w:t>
      </w:r>
      <w:r>
        <w:rPr/>
        <w:t>can</w:t>
      </w:r>
      <w:r>
        <w:rPr>
          <w:spacing w:val="-7"/>
        </w:rPr>
        <w:t> </w:t>
      </w:r>
      <w:r>
        <w:rPr/>
        <w:t>happen</w:t>
      </w:r>
      <w:r>
        <w:rPr>
          <w:spacing w:val="-7"/>
        </w:rPr>
        <w:t> </w:t>
      </w:r>
      <w:r>
        <w:rPr/>
        <w:t>quickly,</w:t>
      </w:r>
      <w:r>
        <w:rPr>
          <w:spacing w:val="-7"/>
        </w:rPr>
        <w:t> </w:t>
      </w:r>
      <w:r>
        <w:rPr/>
        <w:t>and</w:t>
      </w:r>
      <w:r>
        <w:rPr>
          <w:spacing w:val="-5"/>
        </w:rPr>
        <w:t> </w:t>
      </w:r>
      <w:r>
        <w:rPr/>
        <w:t>a</w:t>
      </w:r>
      <w:r>
        <w:rPr>
          <w:spacing w:val="-8"/>
        </w:rPr>
        <w:t> </w:t>
      </w:r>
      <w:r>
        <w:rPr/>
        <w:t>comprehensive</w:t>
      </w:r>
      <w:r>
        <w:rPr>
          <w:spacing w:val="-5"/>
        </w:rPr>
        <w:t> </w:t>
      </w:r>
      <w:r>
        <w:rPr/>
        <w:t>plan</w:t>
      </w:r>
      <w:r>
        <w:rPr>
          <w:spacing w:val="-8"/>
        </w:rPr>
        <w:t> </w:t>
      </w:r>
      <w:r>
        <w:rPr/>
        <w:t>is</w:t>
      </w:r>
      <w:r>
        <w:rPr>
          <w:spacing w:val="-7"/>
        </w:rPr>
        <w:t> </w:t>
      </w:r>
      <w:r>
        <w:rPr/>
        <w:t>needed</w:t>
      </w:r>
      <w:r>
        <w:rPr>
          <w:spacing w:val="-7"/>
        </w:rPr>
        <w:t> </w:t>
      </w:r>
      <w:r>
        <w:rPr/>
        <w:t>to</w:t>
      </w:r>
      <w:r>
        <w:rPr>
          <w:spacing w:val="-4"/>
        </w:rPr>
        <w:t> </w:t>
      </w:r>
      <w:r>
        <w:rPr/>
        <w:t>guide that</w:t>
      </w:r>
      <w:r>
        <w:rPr>
          <w:spacing w:val="-13"/>
        </w:rPr>
        <w:t> </w:t>
      </w:r>
      <w:r>
        <w:rPr/>
        <w:t>change.</w:t>
      </w:r>
      <w:r>
        <w:rPr>
          <w:spacing w:val="-11"/>
        </w:rPr>
        <w:t> </w:t>
      </w:r>
      <w:r>
        <w:rPr/>
        <w:t>A</w:t>
      </w:r>
      <w:r>
        <w:rPr>
          <w:spacing w:val="-14"/>
        </w:rPr>
        <w:t> </w:t>
      </w:r>
      <w:r>
        <w:rPr/>
        <w:t>comprehensive</w:t>
      </w:r>
      <w:r>
        <w:rPr>
          <w:spacing w:val="-14"/>
        </w:rPr>
        <w:t> </w:t>
      </w:r>
      <w:r>
        <w:rPr/>
        <w:t>plan</w:t>
      </w:r>
      <w:r>
        <w:rPr>
          <w:spacing w:val="-14"/>
        </w:rPr>
        <w:t> </w:t>
      </w:r>
      <w:r>
        <w:rPr/>
        <w:t>is</w:t>
      </w:r>
      <w:r>
        <w:rPr>
          <w:spacing w:val="-11"/>
        </w:rPr>
        <w:t> </w:t>
      </w:r>
      <w:r>
        <w:rPr/>
        <w:t>not</w:t>
      </w:r>
      <w:r>
        <w:rPr>
          <w:spacing w:val="-13"/>
        </w:rPr>
        <w:t> </w:t>
      </w:r>
      <w:r>
        <w:rPr/>
        <w:t>a</w:t>
      </w:r>
      <w:r>
        <w:rPr>
          <w:spacing w:val="-14"/>
        </w:rPr>
        <w:t> </w:t>
      </w:r>
      <w:r>
        <w:rPr/>
        <w:t>static</w:t>
      </w:r>
      <w:r>
        <w:rPr>
          <w:spacing w:val="-14"/>
        </w:rPr>
        <w:t> </w:t>
      </w:r>
      <w:r>
        <w:rPr/>
        <w:t>document</w:t>
      </w:r>
      <w:r>
        <w:rPr>
          <w:spacing w:val="-13"/>
        </w:rPr>
        <w:t> </w:t>
      </w:r>
      <w:r>
        <w:rPr/>
        <w:t>and,</w:t>
      </w:r>
      <w:r>
        <w:rPr>
          <w:spacing w:val="-13"/>
        </w:rPr>
        <w:t> </w:t>
      </w:r>
      <w:r>
        <w:rPr/>
        <w:t>as</w:t>
      </w:r>
      <w:r>
        <w:rPr>
          <w:spacing w:val="-9"/>
        </w:rPr>
        <w:t> </w:t>
      </w:r>
      <w:r>
        <w:rPr/>
        <w:t>required</w:t>
      </w:r>
      <w:r>
        <w:rPr>
          <w:spacing w:val="-9"/>
        </w:rPr>
        <w:t> </w:t>
      </w:r>
      <w:r>
        <w:rPr/>
        <w:t>by</w:t>
      </w:r>
      <w:r>
        <w:rPr>
          <w:spacing w:val="-18"/>
        </w:rPr>
        <w:t> </w:t>
      </w:r>
      <w:r>
        <w:rPr/>
        <w:t>the</w:t>
      </w:r>
      <w:r>
        <w:rPr>
          <w:spacing w:val="-14"/>
        </w:rPr>
        <w:t> </w:t>
      </w:r>
      <w:r>
        <w:rPr/>
        <w:t>Commonwealth of Virginia, must be reviewed at least every five</w:t>
      </w:r>
      <w:r>
        <w:rPr>
          <w:spacing w:val="-4"/>
        </w:rPr>
        <w:t> </w:t>
      </w:r>
      <w:r>
        <w:rPr/>
        <w:t>years.</w:t>
      </w:r>
    </w:p>
    <w:p>
      <w:pPr>
        <w:pStyle w:val="Heading1"/>
        <w:spacing w:before="166"/>
      </w:pPr>
      <w:bookmarkStart w:name="_TOC_250004" w:id="2"/>
      <w:r>
        <w:rPr>
          <w:w w:val="95"/>
        </w:rPr>
        <w:t>Loudoun County’s Planning</w:t>
      </w:r>
      <w:r>
        <w:rPr>
          <w:spacing w:val="-71"/>
          <w:w w:val="95"/>
        </w:rPr>
        <w:t> </w:t>
      </w:r>
      <w:bookmarkEnd w:id="2"/>
      <w:r>
        <w:rPr>
          <w:w w:val="95"/>
        </w:rPr>
        <w:t>Approach</w:t>
      </w:r>
    </w:p>
    <w:p>
      <w:pPr>
        <w:pStyle w:val="BodyText"/>
        <w:spacing w:line="259" w:lineRule="auto" w:before="146"/>
        <w:ind w:left="840" w:right="838"/>
        <w:jc w:val="both"/>
      </w:pPr>
      <w:r>
        <w:rPr>
          <w:i/>
        </w:rPr>
        <w:t>Loudoun 2040 </w:t>
      </w:r>
      <w:r>
        <w:rPr/>
        <w:t>builds upon the County’s strong foundation of growth management practices. The Loudoun County Board of Supervisors adopted the County’s first zoning ordinance in 1942 and its</w:t>
      </w:r>
      <w:r>
        <w:rPr>
          <w:spacing w:val="-7"/>
        </w:rPr>
        <w:t> </w:t>
      </w:r>
      <w:r>
        <w:rPr/>
        <w:t>first</w:t>
      </w:r>
      <w:r>
        <w:rPr>
          <w:spacing w:val="-7"/>
        </w:rPr>
        <w:t> </w:t>
      </w:r>
      <w:r>
        <w:rPr/>
        <w:t>comprehensive</w:t>
      </w:r>
      <w:r>
        <w:rPr>
          <w:spacing w:val="-8"/>
        </w:rPr>
        <w:t> </w:t>
      </w:r>
      <w:r>
        <w:rPr/>
        <w:t>plan</w:t>
      </w:r>
      <w:r>
        <w:rPr>
          <w:spacing w:val="-8"/>
        </w:rPr>
        <w:t> </w:t>
      </w:r>
      <w:r>
        <w:rPr/>
        <w:t>in</w:t>
      </w:r>
      <w:r>
        <w:rPr>
          <w:spacing w:val="-7"/>
        </w:rPr>
        <w:t> </w:t>
      </w:r>
      <w:r>
        <w:rPr/>
        <w:t>1959.</w:t>
      </w:r>
      <w:r>
        <w:rPr>
          <w:spacing w:val="-6"/>
        </w:rPr>
        <w:t> </w:t>
      </w:r>
      <w:r>
        <w:rPr/>
        <w:t>The</w:t>
      </w:r>
      <w:r>
        <w:rPr>
          <w:spacing w:val="-8"/>
        </w:rPr>
        <w:t> </w:t>
      </w:r>
      <w:r>
        <w:rPr/>
        <w:t>County’s</w:t>
      </w:r>
      <w:r>
        <w:rPr>
          <w:spacing w:val="-6"/>
        </w:rPr>
        <w:t> </w:t>
      </w:r>
      <w:r>
        <w:rPr/>
        <w:t>1991</w:t>
      </w:r>
      <w:r>
        <w:rPr>
          <w:spacing w:val="-7"/>
        </w:rPr>
        <w:t> </w:t>
      </w:r>
      <w:r>
        <w:rPr/>
        <w:t>General</w:t>
      </w:r>
      <w:r>
        <w:rPr>
          <w:spacing w:val="-7"/>
        </w:rPr>
        <w:t> </w:t>
      </w:r>
      <w:r>
        <w:rPr/>
        <w:t>Plan,</w:t>
      </w:r>
      <w:r>
        <w:rPr>
          <w:spacing w:val="-6"/>
        </w:rPr>
        <w:t> </w:t>
      </w:r>
      <w:r>
        <w:rPr>
          <w:i/>
        </w:rPr>
        <w:t>Choices</w:t>
      </w:r>
      <w:r>
        <w:rPr>
          <w:i/>
          <w:spacing w:val="-7"/>
        </w:rPr>
        <w:t> </w:t>
      </w:r>
      <w:r>
        <w:rPr>
          <w:i/>
        </w:rPr>
        <w:t>and</w:t>
      </w:r>
      <w:r>
        <w:rPr>
          <w:i/>
          <w:spacing w:val="-7"/>
        </w:rPr>
        <w:t> </w:t>
      </w:r>
      <w:r>
        <w:rPr>
          <w:i/>
        </w:rPr>
        <w:t>Changes</w:t>
      </w:r>
      <w:r>
        <w:rPr/>
        <w:t>,</w:t>
      </w:r>
      <w:r>
        <w:rPr>
          <w:spacing w:val="-7"/>
        </w:rPr>
        <w:t> </w:t>
      </w:r>
      <w:r>
        <w:rPr/>
        <w:t>was written when the County was largely undeveloped with an abundance of greenfield development opportunity in the eastern part of the County. By 2001, when the </w:t>
      </w:r>
      <w:r>
        <w:rPr>
          <w:i/>
        </w:rPr>
        <w:t>Revised General Plan </w:t>
      </w:r>
      <w:r>
        <w:rPr/>
        <w:t>was adopted, the County was feeling the effects of a 97 percent population increase since the</w:t>
      </w:r>
      <w:r>
        <w:rPr>
          <w:spacing w:val="-41"/>
        </w:rPr>
        <w:t> </w:t>
      </w:r>
      <w:r>
        <w:rPr/>
        <w:t>adoption of </w:t>
      </w:r>
      <w:r>
        <w:rPr>
          <w:i/>
        </w:rPr>
        <w:t>Choices and</w:t>
      </w:r>
      <w:r>
        <w:rPr>
          <w:i/>
          <w:spacing w:val="-2"/>
        </w:rPr>
        <w:t> </w:t>
      </w:r>
      <w:r>
        <w:rPr>
          <w:i/>
        </w:rPr>
        <w:t>Changes</w:t>
      </w:r>
      <w:r>
        <w:rPr/>
        <w:t>.</w:t>
      </w:r>
    </w:p>
    <w:p>
      <w:pPr>
        <w:pStyle w:val="BodyText"/>
        <w:spacing w:line="259" w:lineRule="auto" w:before="160"/>
        <w:ind w:left="840" w:right="839"/>
        <w:jc w:val="both"/>
      </w:pPr>
      <w:r>
        <w:rPr/>
        <w:t>For</w:t>
      </w:r>
      <w:r>
        <w:rPr>
          <w:spacing w:val="-5"/>
        </w:rPr>
        <w:t> </w:t>
      </w:r>
      <w:r>
        <w:rPr/>
        <w:t>decades,</w:t>
      </w:r>
      <w:r>
        <w:rPr>
          <w:spacing w:val="-4"/>
        </w:rPr>
        <w:t> </w:t>
      </w:r>
      <w:r>
        <w:rPr/>
        <w:t>the</w:t>
      </w:r>
      <w:r>
        <w:rPr>
          <w:spacing w:val="-4"/>
        </w:rPr>
        <w:t> </w:t>
      </w:r>
      <w:r>
        <w:rPr/>
        <w:t>County</w:t>
      </w:r>
      <w:r>
        <w:rPr>
          <w:spacing w:val="-6"/>
        </w:rPr>
        <w:t> </w:t>
      </w:r>
      <w:r>
        <w:rPr/>
        <w:t>has</w:t>
      </w:r>
      <w:r>
        <w:rPr>
          <w:spacing w:val="-4"/>
        </w:rPr>
        <w:t> </w:t>
      </w:r>
      <w:r>
        <w:rPr/>
        <w:t>supported</w:t>
      </w:r>
      <w:r>
        <w:rPr>
          <w:spacing w:val="-4"/>
        </w:rPr>
        <w:t> </w:t>
      </w:r>
      <w:r>
        <w:rPr/>
        <w:t>the</w:t>
      </w:r>
      <w:r>
        <w:rPr>
          <w:spacing w:val="-2"/>
        </w:rPr>
        <w:t> </w:t>
      </w:r>
      <w:r>
        <w:rPr/>
        <w:t>protection</w:t>
      </w:r>
      <w:r>
        <w:rPr>
          <w:spacing w:val="-1"/>
        </w:rPr>
        <w:t> </w:t>
      </w:r>
      <w:r>
        <w:rPr/>
        <w:t>of</w:t>
      </w:r>
      <w:r>
        <w:rPr>
          <w:spacing w:val="-5"/>
        </w:rPr>
        <w:t> </w:t>
      </w:r>
      <w:r>
        <w:rPr/>
        <w:t>its</w:t>
      </w:r>
      <w:r>
        <w:rPr>
          <w:spacing w:val="-4"/>
        </w:rPr>
        <w:t> </w:t>
      </w:r>
      <w:r>
        <w:rPr/>
        <w:t>rural</w:t>
      </w:r>
      <w:r>
        <w:rPr>
          <w:spacing w:val="-1"/>
        </w:rPr>
        <w:t> </w:t>
      </w:r>
      <w:r>
        <w:rPr/>
        <w:t>and</w:t>
      </w:r>
      <w:r>
        <w:rPr>
          <w:spacing w:val="-4"/>
        </w:rPr>
        <w:t> </w:t>
      </w:r>
      <w:r>
        <w:rPr/>
        <w:t>agricultural</w:t>
      </w:r>
      <w:r>
        <w:rPr>
          <w:spacing w:val="-3"/>
        </w:rPr>
        <w:t> </w:t>
      </w:r>
      <w:r>
        <w:rPr/>
        <w:t>areas</w:t>
      </w:r>
      <w:r>
        <w:rPr>
          <w:spacing w:val="-4"/>
        </w:rPr>
        <w:t> </w:t>
      </w:r>
      <w:r>
        <w:rPr/>
        <w:t>to</w:t>
      </w:r>
      <w:r>
        <w:rPr>
          <w:spacing w:val="-3"/>
        </w:rPr>
        <w:t> </w:t>
      </w:r>
      <w:r>
        <w:rPr/>
        <w:t>the</w:t>
      </w:r>
      <w:r>
        <w:rPr>
          <w:spacing w:val="-4"/>
        </w:rPr>
        <w:t> </w:t>
      </w:r>
      <w:r>
        <w:rPr/>
        <w:t>west and focused development in suburban areas to the east. The County has accommodated growth near existing infrastructure to support development in a fiscally sound manner, and in close proximity to Washington Dulles International Airport and Washington, D.C. where the market forces have been strongest for new residential and employment development. Loudoun’s growth management policies have resulted in some of the most highly valued residential communities in the region, while also encouraging new business</w:t>
      </w:r>
      <w:r>
        <w:rPr>
          <w:spacing w:val="-5"/>
        </w:rPr>
        <w:t> </w:t>
      </w:r>
      <w:r>
        <w:rPr/>
        <w:t>development.</w:t>
      </w:r>
    </w:p>
    <w:p>
      <w:pPr>
        <w:pStyle w:val="BodyText"/>
        <w:spacing w:line="261" w:lineRule="auto" w:before="120"/>
        <w:ind w:left="840" w:right="835"/>
        <w:jc w:val="both"/>
      </w:pPr>
      <w:r>
        <w:rPr/>
        <w:t>The framework for land planning in Loudoun County consists of four types of Policy Areas </w:t>
      </w:r>
      <w:r>
        <w:rPr>
          <w:rFonts w:ascii="Tahoma" w:hAnsi="Tahoma"/>
        </w:rPr>
        <w:t>– </w:t>
      </w:r>
      <w:r>
        <w:rPr/>
        <w:t>Urban, Suburban, Transition, and Rural </w:t>
      </w:r>
      <w:r>
        <w:rPr>
          <w:rFonts w:ascii="Tahoma" w:hAnsi="Tahoma"/>
        </w:rPr>
        <w:t>– </w:t>
      </w:r>
      <w:r>
        <w:rPr/>
        <w:t>and several smaller planning areas designated as Joint Land</w:t>
      </w:r>
      <w:r>
        <w:rPr>
          <w:spacing w:val="-15"/>
        </w:rPr>
        <w:t> </w:t>
      </w:r>
      <w:r>
        <w:rPr/>
        <w:t>Management</w:t>
      </w:r>
      <w:r>
        <w:rPr>
          <w:spacing w:val="-15"/>
        </w:rPr>
        <w:t> </w:t>
      </w:r>
      <w:r>
        <w:rPr/>
        <w:t>Areas</w:t>
      </w:r>
      <w:r>
        <w:rPr>
          <w:spacing w:val="-15"/>
        </w:rPr>
        <w:t> </w:t>
      </w:r>
      <w:r>
        <w:rPr/>
        <w:t>and</w:t>
      </w:r>
      <w:r>
        <w:rPr>
          <w:spacing w:val="-15"/>
        </w:rPr>
        <w:t> </w:t>
      </w:r>
      <w:r>
        <w:rPr/>
        <w:t>Rural</w:t>
      </w:r>
      <w:r>
        <w:rPr>
          <w:spacing w:val="-15"/>
        </w:rPr>
        <w:t> </w:t>
      </w:r>
      <w:r>
        <w:rPr/>
        <w:t>Villages.</w:t>
      </w:r>
      <w:r>
        <w:rPr>
          <w:spacing w:val="-13"/>
        </w:rPr>
        <w:t> </w:t>
      </w:r>
      <w:r>
        <w:rPr/>
        <w:t>These</w:t>
      </w:r>
      <w:r>
        <w:rPr>
          <w:spacing w:val="-14"/>
        </w:rPr>
        <w:t> </w:t>
      </w:r>
      <w:r>
        <w:rPr/>
        <w:t>Areas</w:t>
      </w:r>
      <w:r>
        <w:rPr>
          <w:spacing w:val="-15"/>
        </w:rPr>
        <w:t> </w:t>
      </w:r>
      <w:r>
        <w:rPr/>
        <w:t>represent</w:t>
      </w:r>
      <w:r>
        <w:rPr>
          <w:spacing w:val="-15"/>
        </w:rPr>
        <w:t> </w:t>
      </w:r>
      <w:r>
        <w:rPr/>
        <w:t>distinct</w:t>
      </w:r>
      <w:r>
        <w:rPr>
          <w:spacing w:val="-15"/>
        </w:rPr>
        <w:t> </w:t>
      </w:r>
      <w:r>
        <w:rPr/>
        <w:t>planning</w:t>
      </w:r>
      <w:r>
        <w:rPr>
          <w:spacing w:val="-18"/>
        </w:rPr>
        <w:t> </w:t>
      </w:r>
      <w:r>
        <w:rPr/>
        <w:t>communities with specific policies, strategies, and actions tailored to address the unique needs of each</w:t>
      </w:r>
      <w:r>
        <w:rPr>
          <w:spacing w:val="-13"/>
        </w:rPr>
        <w:t> </w:t>
      </w:r>
      <w:r>
        <w:rPr/>
        <w:t>area.</w:t>
      </w:r>
    </w:p>
    <w:p>
      <w:pPr>
        <w:spacing w:after="0" w:line="261" w:lineRule="auto"/>
        <w:jc w:val="both"/>
        <w:sectPr>
          <w:pgSz w:w="12240" w:h="15840"/>
          <w:pgMar w:header="719" w:footer="1016" w:top="920" w:bottom="1200" w:left="600" w:right="600"/>
        </w:sectPr>
      </w:pPr>
    </w:p>
    <w:p>
      <w:pPr>
        <w:pStyle w:val="BodyText"/>
        <w:rPr>
          <w:sz w:val="20"/>
        </w:rPr>
      </w:pPr>
    </w:p>
    <w:p>
      <w:pPr>
        <w:pStyle w:val="Heading2"/>
        <w:ind w:left="6032"/>
      </w:pPr>
      <w:r>
        <w:rPr/>
        <w:pict>
          <v:group style="position:absolute;margin-left:71.199997pt;margin-top:16.225489pt;width:468.9pt;height:530.8pt;mso-position-horizontal-relative:page;mso-position-vertical-relative:paragraph;z-index:-17968" coordorigin="1424,325" coordsize="9378,10616">
            <v:shape style="position:absolute;left:1801;top:2560;width:7906;height:8380" coordorigin="1801,2561" coordsize="7906,8380" path="m4498,9824l4492,9751,4477,9673,4455,9590,4432,9521,4402,9449,4367,9374,4325,9296,4276,9215,4236,9156,4200,9106,4200,9791,4197,9847,4185,9904,4167,9962,4138,10021,4097,10084,4044,10150,3979,10220,3674,10525,2216,9067,2517,8767,2598,8690,2672,8631,2740,8587,2801,8561,2868,8546,2941,8542,3020,8549,3105,8567,3195,8596,3255,8621,3317,8654,3380,8692,3446,8737,3514,8789,3584,8847,3656,8912,3729,8983,3789,9045,3844,9105,3896,9164,3943,9222,3986,9278,4024,9333,4059,9387,4101,9462,4136,9534,4163,9604,4183,9671,4196,9735,4200,9791,4200,9106,4194,9097,4148,9037,4098,8976,4045,8915,3989,8854,3929,8792,3865,8730,3801,8671,3737,8616,3673,8565,3643,8542,3609,8517,3546,8472,3482,8431,3419,8393,3346,8355,3274,8323,3203,8296,3132,8274,3062,8257,2992,8245,2923,8238,2850,8236,2779,8243,2709,8258,2642,8281,2577,8311,2528,8339,2476,8376,2420,8422,2359,8476,2294,8539,1801,9032,3710,10940,4124,10525,4226,10423,4287,10358,4341,10293,4386,10227,4424,10160,4454,10094,4476,10027,4491,9961,4498,9893,4498,9824m6418,8231l6056,8104,5650,7961,5561,7932,5475,7908,5393,7889,5364,7883,5314,7874,5239,7864,5193,7863,5143,7866,5089,7873,5030,7883,5074,7814,5109,7744,5136,7675,5154,7606,5164,7538,5165,7469,5157,7402,5139,7324,5111,7247,5075,7173,5030,7100,4976,7029,4956,7007,4913,6961,4872,6923,4872,7480,4868,7536,4854,7591,4830,7647,4794,7705,4747,7766,4687,7830,4413,8104,4280,8237,3649,7606,4102,7153,4166,7096,4229,7053,4293,7023,4358,7008,4422,7007,4501,7022,4577,7052,4649,7096,4718,7156,4761,7204,4797,7254,4827,7308,4851,7365,4867,7423,4872,7480,4872,6923,4849,6901,4782,6849,4713,6803,4641,6765,4566,6733,4474,6704,4386,6692,4303,6694,4225,6710,4163,6734,4098,6771,4030,6819,3958,6879,3883,6950,3248,7585,5157,9493,5346,9303,4499,8456,4718,8237,4753,8203,4783,8175,4810,8154,4833,8140,4863,8126,4896,8115,4932,8108,4971,8104,5014,8104,5066,8109,5125,8119,5194,8136,5256,8153,5328,8174,5407,8199,5496,8228,6180,8469,6418,8231m7780,6869l7415,6674,6555,6220,6555,6527,6070,7012,5989,6869,5748,6438,5708,6367,5668,6295,5629,6230,5590,6165,5550,6101,5509,6038,5467,5976,5424,5914,5380,5854,5436,5889,5498,5927,5564,5967,5635,6009,5792,6099,6555,6527,6555,6220,5862,5854,5286,5547,5082,5751,5277,6101,5316,6171,5701,6869,6168,7718,6441,8209,6642,8008,6565,7874,6298,7406,6221,7272,6481,7012,6820,6674,7565,7085,7780,6869m8131,6519l7264,5652,7489,5426,7936,4980,7711,4755,7039,5426,6448,4836,7224,4059,6999,3834,6033,4800,7941,6708,8131,6519m9707,4943l8213,3449,8024,3260,8497,2786,8272,2561,7138,3695,7363,3921,7834,3449,9517,5132,9707,4943e" filled="true" fillcolor="#c0c0c0" stroked="false">
              <v:path arrowok="t"/>
              <v:fill opacity="32896f" type="solid"/>
            </v:shape>
            <v:shape style="position:absolute;left:5751;top:5100;width:5050;height:3765" type="#_x0000_t75" stroked="false">
              <v:imagedata r:id="rId12" o:title=""/>
            </v:shape>
            <v:shape style="position:absolute;left:5745;top:8865;width:5057;height:1016" type="#_x0000_t75" stroked="false">
              <v:imagedata r:id="rId13" o:title=""/>
            </v:shape>
            <v:shape style="position:absolute;left:1440;top:324;width:5010;height:2644" type="#_x0000_t75" stroked="false">
              <v:imagedata r:id="rId14" o:title=""/>
            </v:shape>
            <v:shape style="position:absolute;left:1424;top:2985;width:5025;height:763" type="#_x0000_t75" stroked="false">
              <v:imagedata r:id="rId15" o:title=""/>
            </v:shape>
            <w10:wrap type="none"/>
          </v:group>
        </w:pict>
      </w:r>
      <w:r>
        <w:rPr>
          <w:color w:val="396230"/>
          <w:w w:val="105"/>
        </w:rPr>
        <w:t>Urban Policy Areas</w:t>
      </w:r>
    </w:p>
    <w:p>
      <w:pPr>
        <w:pStyle w:val="BodyText"/>
        <w:spacing w:line="259" w:lineRule="auto" w:before="52"/>
        <w:ind w:left="6032" w:right="834"/>
        <w:jc w:val="both"/>
      </w:pPr>
      <w:r>
        <w:rPr/>
        <w:pict>
          <v:shape style="position:absolute;margin-left:71.199997pt;margin-top:121.113106pt;width:251.25pt;height:38.15pt;mso-position-horizontal-relative:page;mso-position-vertical-relative:paragraph;z-index:1192" type="#_x0000_t202" filled="false" stroked="false">
            <v:textbox inset="0,0,0,0">
              <w:txbxContent>
                <w:p>
                  <w:pPr>
                    <w:spacing w:before="114"/>
                    <w:ind w:left="-1" w:right="0" w:firstLine="0"/>
                    <w:jc w:val="both"/>
                    <w:rPr>
                      <w:i/>
                      <w:sz w:val="18"/>
                    </w:rPr>
                  </w:pPr>
                  <w:r>
                    <w:rPr>
                      <w:i/>
                      <w:sz w:val="18"/>
                    </w:rPr>
                    <w:t>Loudoun</w:t>
                  </w:r>
                  <w:r>
                    <w:rPr>
                      <w:i/>
                      <w:spacing w:val="-13"/>
                      <w:sz w:val="18"/>
                    </w:rPr>
                    <w:t> </w:t>
                  </w:r>
                  <w:r>
                    <w:rPr>
                      <w:i/>
                      <w:sz w:val="18"/>
                    </w:rPr>
                    <w:t>Station,</w:t>
                  </w:r>
                  <w:r>
                    <w:rPr>
                      <w:i/>
                      <w:spacing w:val="-13"/>
                      <w:sz w:val="18"/>
                    </w:rPr>
                    <w:t> </w:t>
                  </w:r>
                  <w:r>
                    <w:rPr>
                      <w:i/>
                      <w:sz w:val="18"/>
                    </w:rPr>
                    <w:t>a</w:t>
                  </w:r>
                  <w:r>
                    <w:rPr>
                      <w:i/>
                      <w:spacing w:val="-10"/>
                      <w:sz w:val="18"/>
                    </w:rPr>
                    <w:t> </w:t>
                  </w:r>
                  <w:r>
                    <w:rPr>
                      <w:i/>
                      <w:sz w:val="18"/>
                    </w:rPr>
                    <w:t>mixed-use</w:t>
                  </w:r>
                  <w:r>
                    <w:rPr>
                      <w:i/>
                      <w:spacing w:val="-13"/>
                      <w:sz w:val="18"/>
                    </w:rPr>
                    <w:t> </w:t>
                  </w:r>
                  <w:r>
                    <w:rPr>
                      <w:i/>
                      <w:sz w:val="18"/>
                    </w:rPr>
                    <w:t>town</w:t>
                  </w:r>
                  <w:r>
                    <w:rPr>
                      <w:i/>
                      <w:spacing w:val="-10"/>
                      <w:sz w:val="18"/>
                    </w:rPr>
                    <w:t> </w:t>
                  </w:r>
                  <w:r>
                    <w:rPr>
                      <w:i/>
                      <w:sz w:val="18"/>
                    </w:rPr>
                    <w:t>center</w:t>
                  </w:r>
                  <w:r>
                    <w:rPr>
                      <w:i/>
                      <w:spacing w:val="-12"/>
                      <w:sz w:val="18"/>
                    </w:rPr>
                    <w:t> </w:t>
                  </w:r>
                  <w:r>
                    <w:rPr>
                      <w:i/>
                      <w:sz w:val="18"/>
                    </w:rPr>
                    <w:t>development</w:t>
                  </w:r>
                  <w:r>
                    <w:rPr>
                      <w:i/>
                      <w:spacing w:val="-13"/>
                      <w:sz w:val="18"/>
                    </w:rPr>
                    <w:t> </w:t>
                  </w:r>
                  <w:r>
                    <w:rPr>
                      <w:i/>
                      <w:sz w:val="18"/>
                    </w:rPr>
                    <w:t>adjacent</w:t>
                  </w:r>
                  <w:r>
                    <w:rPr>
                      <w:i/>
                      <w:spacing w:val="-11"/>
                      <w:sz w:val="18"/>
                    </w:rPr>
                    <w:t> </w:t>
                  </w:r>
                  <w:r>
                    <w:rPr>
                      <w:i/>
                      <w:sz w:val="18"/>
                    </w:rPr>
                    <w:t>to</w:t>
                  </w:r>
                  <w:r>
                    <w:rPr>
                      <w:i/>
                      <w:spacing w:val="-10"/>
                      <w:sz w:val="18"/>
                    </w:rPr>
                    <w:t> </w:t>
                  </w:r>
                  <w:r>
                    <w:rPr>
                      <w:i/>
                      <w:sz w:val="18"/>
                    </w:rPr>
                    <w:t>the </w:t>
                  </w:r>
                  <w:r>
                    <w:rPr>
                      <w:i/>
                      <w:sz w:val="18"/>
                    </w:rPr>
                    <w:t>Silver Line Ashburn Station, is within one of the new Urban Policy Areas.</w:t>
                  </w:r>
                </w:p>
              </w:txbxContent>
            </v:textbox>
            <w10:wrap type="none"/>
          </v:shape>
        </w:pict>
      </w:r>
      <w:r>
        <w:rPr/>
        <w:t>The Urban Policy Areas represent a new planning area concept in Loudoun, encompassing approximately 2,600 acres</w:t>
      </w:r>
      <w:r>
        <w:rPr>
          <w:spacing w:val="-42"/>
        </w:rPr>
        <w:t> </w:t>
      </w:r>
      <w:r>
        <w:rPr/>
        <w:t>in areas around the Silver Line Metrorail Stations. The two Urban Policy Areas represent major growth opportunities for the County with mixed-use and transit- oriented land uses and development intensity not previously contemplated in Loudoun. </w:t>
      </w:r>
      <w:r>
        <w:rPr>
          <w:i/>
        </w:rPr>
        <w:t>Loudoun 2040 </w:t>
      </w:r>
      <w:r>
        <w:rPr/>
        <w:t>calls for complete urban communities that</w:t>
      </w:r>
      <w:r>
        <w:rPr>
          <w:spacing w:val="10"/>
        </w:rPr>
        <w:t> </w:t>
      </w:r>
      <w:r>
        <w:rPr/>
        <w:t>accommodate</w:t>
      </w:r>
    </w:p>
    <w:p>
      <w:pPr>
        <w:pStyle w:val="BodyText"/>
        <w:spacing w:line="256" w:lineRule="auto"/>
        <w:ind w:left="840" w:right="837"/>
        <w:jc w:val="both"/>
      </w:pPr>
      <w:r>
        <w:rPr/>
        <w:t>housing, employment, retail, education, and entertainment in close proximity to Metrorail. These areas will facilitate opportunities for significant job creation and expansion of the County’s tax base.</w:t>
      </w:r>
    </w:p>
    <w:p>
      <w:pPr>
        <w:pStyle w:val="Heading2"/>
        <w:spacing w:before="139"/>
      </w:pPr>
      <w:r>
        <w:rPr>
          <w:color w:val="396230"/>
          <w:w w:val="105"/>
        </w:rPr>
        <w:t>Suburban Policy Area</w:t>
      </w:r>
    </w:p>
    <w:p>
      <w:pPr>
        <w:pStyle w:val="BodyText"/>
        <w:spacing w:line="259" w:lineRule="auto" w:before="52"/>
        <w:ind w:left="840" w:right="6062"/>
        <w:jc w:val="both"/>
      </w:pPr>
      <w:r>
        <w:rPr/>
        <w:pict>
          <v:shape style="position:absolute;margin-left:287.25pt;margin-top:181.08313pt;width:252.85pt;height:50.8pt;mso-position-horizontal-relative:page;mso-position-vertical-relative:paragraph;z-index:1168" type="#_x0000_t202" filled="false" stroked="false">
            <v:textbox inset="0,0,0,0">
              <w:txbxContent>
                <w:p>
                  <w:pPr>
                    <w:spacing w:before="115"/>
                    <w:ind w:left="2" w:right="-15" w:firstLine="0"/>
                    <w:jc w:val="both"/>
                    <w:rPr>
                      <w:i/>
                      <w:sz w:val="18"/>
                    </w:rPr>
                  </w:pPr>
                  <w:r>
                    <w:rPr>
                      <w:i/>
                      <w:sz w:val="18"/>
                    </w:rPr>
                    <w:t>Much</w:t>
                  </w:r>
                  <w:r>
                    <w:rPr>
                      <w:i/>
                      <w:spacing w:val="-8"/>
                      <w:sz w:val="18"/>
                    </w:rPr>
                    <w:t> </w:t>
                  </w:r>
                  <w:r>
                    <w:rPr>
                      <w:i/>
                      <w:sz w:val="18"/>
                    </w:rPr>
                    <w:t>of</w:t>
                  </w:r>
                  <w:r>
                    <w:rPr>
                      <w:i/>
                      <w:spacing w:val="-9"/>
                      <w:sz w:val="18"/>
                    </w:rPr>
                    <w:t> </w:t>
                  </w:r>
                  <w:r>
                    <w:rPr>
                      <w:i/>
                      <w:sz w:val="18"/>
                    </w:rPr>
                    <w:t>Loudoun's</w:t>
                  </w:r>
                  <w:r>
                    <w:rPr>
                      <w:i/>
                      <w:spacing w:val="-10"/>
                      <w:sz w:val="18"/>
                    </w:rPr>
                    <w:t> </w:t>
                  </w:r>
                  <w:r>
                    <w:rPr>
                      <w:i/>
                      <w:sz w:val="18"/>
                    </w:rPr>
                    <w:t>residential</w:t>
                  </w:r>
                  <w:r>
                    <w:rPr>
                      <w:i/>
                      <w:spacing w:val="-9"/>
                      <w:sz w:val="18"/>
                    </w:rPr>
                    <w:t> </w:t>
                  </w:r>
                  <w:r>
                    <w:rPr>
                      <w:i/>
                      <w:sz w:val="18"/>
                    </w:rPr>
                    <w:t>growth</w:t>
                  </w:r>
                  <w:r>
                    <w:rPr>
                      <w:i/>
                      <w:spacing w:val="-8"/>
                      <w:sz w:val="18"/>
                    </w:rPr>
                    <w:t> </w:t>
                  </w:r>
                  <w:r>
                    <w:rPr>
                      <w:i/>
                      <w:sz w:val="18"/>
                    </w:rPr>
                    <w:t>has</w:t>
                  </w:r>
                  <w:r>
                    <w:rPr>
                      <w:i/>
                      <w:spacing w:val="-10"/>
                      <w:sz w:val="18"/>
                    </w:rPr>
                    <w:t> </w:t>
                  </w:r>
                  <w:r>
                    <w:rPr>
                      <w:i/>
                      <w:sz w:val="18"/>
                    </w:rPr>
                    <w:t>occurred</w:t>
                  </w:r>
                  <w:r>
                    <w:rPr>
                      <w:i/>
                      <w:spacing w:val="-8"/>
                      <w:sz w:val="18"/>
                    </w:rPr>
                    <w:t> </w:t>
                  </w:r>
                  <w:r>
                    <w:rPr>
                      <w:i/>
                      <w:sz w:val="18"/>
                    </w:rPr>
                    <w:t>in</w:t>
                  </w:r>
                  <w:r>
                    <w:rPr>
                      <w:i/>
                      <w:spacing w:val="-8"/>
                      <w:sz w:val="18"/>
                    </w:rPr>
                    <w:t> </w:t>
                  </w:r>
                  <w:r>
                    <w:rPr>
                      <w:i/>
                      <w:sz w:val="18"/>
                    </w:rPr>
                    <w:t>the</w:t>
                  </w:r>
                  <w:r>
                    <w:rPr>
                      <w:i/>
                      <w:spacing w:val="-10"/>
                      <w:sz w:val="18"/>
                    </w:rPr>
                    <w:t> </w:t>
                  </w:r>
                  <w:r>
                    <w:rPr>
                      <w:i/>
                      <w:sz w:val="18"/>
                    </w:rPr>
                    <w:t>easternmost </w:t>
                  </w:r>
                  <w:r>
                    <w:rPr>
                      <w:i/>
                      <w:sz w:val="18"/>
                    </w:rPr>
                    <w:t>part of the County. With decreasing undeveloped areas, the Loudoun 2040 General Plan anticipates a more integrated mix of uses in this part of the County over the next two</w:t>
                  </w:r>
                  <w:r>
                    <w:rPr>
                      <w:i/>
                      <w:spacing w:val="-7"/>
                      <w:sz w:val="18"/>
                    </w:rPr>
                    <w:t> </w:t>
                  </w:r>
                  <w:r>
                    <w:rPr>
                      <w:i/>
                      <w:sz w:val="18"/>
                    </w:rPr>
                    <w:t>decades.</w:t>
                  </w:r>
                </w:p>
              </w:txbxContent>
            </v:textbox>
            <w10:wrap type="none"/>
          </v:shape>
        </w:pict>
      </w:r>
      <w:r>
        <w:rPr/>
        <w:t>The 48,000-acre Suburban Policy Area comprises the eastern third of the County and is where most of the residential and commercial growth has occurred since the 1960’s. The Suburban Policy Area developed in a traditional suburban pattern with predominantly single-family neighborhoods. Route 28 and Loudoun County Parkway (Route 607) form the County’s “data center alley,” having evolved into an international leader for global data management, technology, and communications industries. More than 70 percent of all internet traffic is routed through data centers in this Policy Area. The area around Washington</w:t>
      </w:r>
      <w:r>
        <w:rPr>
          <w:spacing w:val="55"/>
        </w:rPr>
        <w:t> </w:t>
      </w:r>
      <w:r>
        <w:rPr/>
        <w:t>Dulles</w:t>
      </w:r>
    </w:p>
    <w:p>
      <w:pPr>
        <w:pStyle w:val="BodyText"/>
        <w:spacing w:line="256" w:lineRule="auto"/>
        <w:ind w:left="840" w:right="836"/>
        <w:jc w:val="both"/>
      </w:pPr>
      <w:r>
        <w:rPr/>
        <w:t>International Airport is also expected to continue to be a major factor as a key location for industrial uses, airport-related businesses, and data center development.</w:t>
      </w:r>
    </w:p>
    <w:p>
      <w:pPr>
        <w:spacing w:after="0" w:line="256" w:lineRule="auto"/>
        <w:jc w:val="both"/>
        <w:sectPr>
          <w:pgSz w:w="12240" w:h="15840"/>
          <w:pgMar w:header="719" w:footer="1016" w:top="920" w:bottom="1200" w:left="600" w:right="600"/>
        </w:sectPr>
      </w:pPr>
    </w:p>
    <w:p>
      <w:pPr>
        <w:pStyle w:val="BodyText"/>
        <w:rPr>
          <w:sz w:val="20"/>
        </w:rPr>
      </w:pPr>
    </w:p>
    <w:p>
      <w:pPr>
        <w:pStyle w:val="Heading2"/>
        <w:ind w:left="5521"/>
      </w:pPr>
      <w:r>
        <w:rPr>
          <w:color w:val="396230"/>
        </w:rPr>
        <w:t>Transition Policy Area</w:t>
      </w:r>
    </w:p>
    <w:p>
      <w:pPr>
        <w:pStyle w:val="BodyText"/>
        <w:spacing w:line="259" w:lineRule="auto" w:before="52"/>
        <w:ind w:left="5521" w:right="832"/>
        <w:jc w:val="both"/>
      </w:pPr>
      <w:r>
        <w:rPr/>
        <w:pict>
          <v:shape style="position:absolute;margin-left:72pt;margin-top:118.863106pt;width:225pt;height:51.1pt;mso-position-horizontal-relative:page;mso-position-vertical-relative:paragraph;z-index:1264" type="#_x0000_t202" filled="false" stroked="false">
            <v:textbox inset="0,0,0,0">
              <w:txbxContent>
                <w:p>
                  <w:pPr>
                    <w:spacing w:before="116"/>
                    <w:ind w:left="0" w:right="-15" w:firstLine="0"/>
                    <w:jc w:val="both"/>
                    <w:rPr>
                      <w:i/>
                      <w:sz w:val="18"/>
                    </w:rPr>
                  </w:pPr>
                  <w:r>
                    <w:rPr>
                      <w:i/>
                      <w:sz w:val="18"/>
                    </w:rPr>
                    <w:t>The</w:t>
                  </w:r>
                  <w:r>
                    <w:rPr>
                      <w:i/>
                      <w:spacing w:val="-14"/>
                      <w:sz w:val="18"/>
                    </w:rPr>
                    <w:t> </w:t>
                  </w:r>
                  <w:r>
                    <w:rPr>
                      <w:i/>
                      <w:sz w:val="18"/>
                    </w:rPr>
                    <w:t>Transition</w:t>
                  </w:r>
                  <w:r>
                    <w:rPr>
                      <w:i/>
                      <w:spacing w:val="-12"/>
                      <w:sz w:val="18"/>
                    </w:rPr>
                    <w:t> </w:t>
                  </w:r>
                  <w:r>
                    <w:rPr>
                      <w:i/>
                      <w:sz w:val="18"/>
                    </w:rPr>
                    <w:t>Policy</w:t>
                  </w:r>
                  <w:r>
                    <w:rPr>
                      <w:i/>
                      <w:spacing w:val="-14"/>
                      <w:sz w:val="18"/>
                    </w:rPr>
                    <w:t> </w:t>
                  </w:r>
                  <w:r>
                    <w:rPr>
                      <w:i/>
                      <w:sz w:val="18"/>
                    </w:rPr>
                    <w:t>Area</w:t>
                  </w:r>
                  <w:r>
                    <w:rPr>
                      <w:i/>
                      <w:spacing w:val="-10"/>
                      <w:sz w:val="18"/>
                    </w:rPr>
                    <w:t> </w:t>
                  </w:r>
                  <w:r>
                    <w:rPr>
                      <w:i/>
                      <w:sz w:val="18"/>
                    </w:rPr>
                    <w:t>is</w:t>
                  </w:r>
                  <w:r>
                    <w:rPr>
                      <w:i/>
                      <w:spacing w:val="-13"/>
                      <w:sz w:val="18"/>
                    </w:rPr>
                    <w:t> </w:t>
                  </w:r>
                  <w:r>
                    <w:rPr>
                      <w:i/>
                      <w:sz w:val="18"/>
                    </w:rPr>
                    <w:t>planned</w:t>
                  </w:r>
                  <w:r>
                    <w:rPr>
                      <w:i/>
                      <w:spacing w:val="-12"/>
                      <w:sz w:val="18"/>
                    </w:rPr>
                    <w:t> </w:t>
                  </w:r>
                  <w:r>
                    <w:rPr>
                      <w:i/>
                      <w:sz w:val="18"/>
                    </w:rPr>
                    <w:t>for</w:t>
                  </w:r>
                  <w:r>
                    <w:rPr>
                      <w:i/>
                      <w:spacing w:val="-13"/>
                      <w:sz w:val="18"/>
                    </w:rPr>
                    <w:t> </w:t>
                  </w:r>
                  <w:r>
                    <w:rPr>
                      <w:i/>
                      <w:sz w:val="18"/>
                    </w:rPr>
                    <w:t>a</w:t>
                  </w:r>
                  <w:r>
                    <w:rPr>
                      <w:i/>
                      <w:spacing w:val="-14"/>
                      <w:sz w:val="18"/>
                    </w:rPr>
                    <w:t> </w:t>
                  </w:r>
                  <w:r>
                    <w:rPr>
                      <w:i/>
                      <w:sz w:val="18"/>
                    </w:rPr>
                    <w:t>diversity</w:t>
                  </w:r>
                  <w:r>
                    <w:rPr>
                      <w:i/>
                      <w:spacing w:val="-14"/>
                      <w:sz w:val="18"/>
                    </w:rPr>
                    <w:t> </w:t>
                  </w:r>
                  <w:r>
                    <w:rPr>
                      <w:i/>
                      <w:sz w:val="18"/>
                    </w:rPr>
                    <w:t>of</w:t>
                  </w:r>
                  <w:r>
                    <w:rPr>
                      <w:i/>
                      <w:spacing w:val="-12"/>
                      <w:sz w:val="18"/>
                    </w:rPr>
                    <w:t> </w:t>
                  </w:r>
                  <w:r>
                    <w:rPr>
                      <w:i/>
                      <w:sz w:val="18"/>
                    </w:rPr>
                    <w:t>housing </w:t>
                  </w:r>
                  <w:r>
                    <w:rPr>
                      <w:i/>
                      <w:sz w:val="18"/>
                    </w:rPr>
                    <w:t>options</w:t>
                  </w:r>
                  <w:r>
                    <w:rPr>
                      <w:i/>
                      <w:spacing w:val="-9"/>
                      <w:sz w:val="18"/>
                    </w:rPr>
                    <w:t> </w:t>
                  </w:r>
                  <w:r>
                    <w:rPr>
                      <w:i/>
                      <w:sz w:val="18"/>
                    </w:rPr>
                    <w:t>in</w:t>
                  </w:r>
                  <w:r>
                    <w:rPr>
                      <w:i/>
                      <w:spacing w:val="-4"/>
                      <w:sz w:val="18"/>
                    </w:rPr>
                    <w:t> </w:t>
                  </w:r>
                  <w:r>
                    <w:rPr>
                      <w:i/>
                      <w:sz w:val="18"/>
                    </w:rPr>
                    <w:t>clustered</w:t>
                  </w:r>
                  <w:r>
                    <w:rPr>
                      <w:i/>
                      <w:spacing w:val="-5"/>
                      <w:sz w:val="18"/>
                    </w:rPr>
                    <w:t> </w:t>
                  </w:r>
                  <w:r>
                    <w:rPr>
                      <w:i/>
                      <w:sz w:val="18"/>
                    </w:rPr>
                    <w:t>patterns</w:t>
                  </w:r>
                  <w:r>
                    <w:rPr>
                      <w:i/>
                      <w:spacing w:val="-6"/>
                      <w:sz w:val="18"/>
                    </w:rPr>
                    <w:t> </w:t>
                  </w:r>
                  <w:r>
                    <w:rPr>
                      <w:i/>
                      <w:sz w:val="18"/>
                    </w:rPr>
                    <w:t>with</w:t>
                  </w:r>
                  <w:r>
                    <w:rPr>
                      <w:i/>
                      <w:spacing w:val="-7"/>
                      <w:sz w:val="18"/>
                    </w:rPr>
                    <w:t> </w:t>
                  </w:r>
                  <w:r>
                    <w:rPr>
                      <w:i/>
                      <w:sz w:val="18"/>
                    </w:rPr>
                    <w:t>substantial</w:t>
                  </w:r>
                  <w:r>
                    <w:rPr>
                      <w:i/>
                      <w:spacing w:val="-8"/>
                      <w:sz w:val="18"/>
                    </w:rPr>
                    <w:t> </w:t>
                  </w:r>
                  <w:r>
                    <w:rPr>
                      <w:i/>
                      <w:sz w:val="18"/>
                    </w:rPr>
                    <w:t>open</w:t>
                  </w:r>
                  <w:r>
                    <w:rPr>
                      <w:i/>
                      <w:spacing w:val="-7"/>
                      <w:sz w:val="18"/>
                    </w:rPr>
                    <w:t> </w:t>
                  </w:r>
                  <w:r>
                    <w:rPr>
                      <w:i/>
                      <w:sz w:val="18"/>
                    </w:rPr>
                    <w:t>space</w:t>
                  </w:r>
                  <w:r>
                    <w:rPr>
                      <w:i/>
                      <w:spacing w:val="-9"/>
                      <w:sz w:val="18"/>
                    </w:rPr>
                    <w:t> </w:t>
                  </w:r>
                  <w:r>
                    <w:rPr>
                      <w:i/>
                      <w:sz w:val="18"/>
                    </w:rPr>
                    <w:t>areas that provide recreational amenities and protect natural and heritage</w:t>
                  </w:r>
                  <w:r>
                    <w:rPr>
                      <w:i/>
                      <w:spacing w:val="-2"/>
                      <w:sz w:val="18"/>
                    </w:rPr>
                    <w:t> </w:t>
                  </w:r>
                  <w:r>
                    <w:rPr>
                      <w:i/>
                      <w:sz w:val="18"/>
                    </w:rPr>
                    <w:t>resources.</w:t>
                  </w:r>
                </w:p>
              </w:txbxContent>
            </v:textbox>
            <w10:wrap type="none"/>
          </v:shape>
        </w:pict>
      </w:r>
      <w:r>
        <w:rPr/>
        <w:t>The Transition Policy Area is a 24,000-acre area along the western edge of the Suburban Policy Area and is intended to be visually distinct from the</w:t>
      </w:r>
      <w:r>
        <w:rPr>
          <w:spacing w:val="-9"/>
        </w:rPr>
        <w:t> </w:t>
      </w:r>
      <w:r>
        <w:rPr/>
        <w:t>Suburban</w:t>
      </w:r>
      <w:r>
        <w:rPr>
          <w:spacing w:val="-9"/>
        </w:rPr>
        <w:t> </w:t>
      </w:r>
      <w:r>
        <w:rPr/>
        <w:t>and</w:t>
      </w:r>
      <w:r>
        <w:rPr>
          <w:spacing w:val="-9"/>
        </w:rPr>
        <w:t> </w:t>
      </w:r>
      <w:r>
        <w:rPr/>
        <w:t>Rural</w:t>
      </w:r>
      <w:r>
        <w:rPr>
          <w:spacing w:val="-7"/>
        </w:rPr>
        <w:t> </w:t>
      </w:r>
      <w:r>
        <w:rPr/>
        <w:t>Policy</w:t>
      </w:r>
      <w:r>
        <w:rPr>
          <w:spacing w:val="-13"/>
        </w:rPr>
        <w:t> </w:t>
      </w:r>
      <w:r>
        <w:rPr/>
        <w:t>Areas.</w:t>
      </w:r>
      <w:r>
        <w:rPr>
          <w:spacing w:val="-8"/>
        </w:rPr>
        <w:t> </w:t>
      </w:r>
      <w:r>
        <w:rPr/>
        <w:t>The</w:t>
      </w:r>
      <w:r>
        <w:rPr>
          <w:spacing w:val="-10"/>
        </w:rPr>
        <w:t> </w:t>
      </w:r>
      <w:r>
        <w:rPr/>
        <w:t>area</w:t>
      </w:r>
      <w:r>
        <w:rPr>
          <w:spacing w:val="-10"/>
        </w:rPr>
        <w:t> </w:t>
      </w:r>
      <w:r>
        <w:rPr/>
        <w:t>is planned for a diversity of clustered housing with limited commercial uses to support residents</w:t>
      </w:r>
      <w:r>
        <w:rPr>
          <w:spacing w:val="-21"/>
        </w:rPr>
        <w:t> </w:t>
      </w:r>
      <w:r>
        <w:rPr/>
        <w:t>and some</w:t>
      </w:r>
      <w:r>
        <w:rPr>
          <w:spacing w:val="-10"/>
        </w:rPr>
        <w:t> </w:t>
      </w:r>
      <w:r>
        <w:rPr/>
        <w:t>industrial</w:t>
      </w:r>
      <w:r>
        <w:rPr>
          <w:spacing w:val="-10"/>
        </w:rPr>
        <w:t> </w:t>
      </w:r>
      <w:r>
        <w:rPr/>
        <w:t>spaces</w:t>
      </w:r>
      <w:r>
        <w:rPr>
          <w:spacing w:val="-10"/>
        </w:rPr>
        <w:t> </w:t>
      </w:r>
      <w:r>
        <w:rPr/>
        <w:t>focused</w:t>
      </w:r>
      <w:r>
        <w:rPr>
          <w:spacing w:val="-10"/>
        </w:rPr>
        <w:t> </w:t>
      </w:r>
      <w:r>
        <w:rPr/>
        <w:t>on</w:t>
      </w:r>
      <w:r>
        <w:rPr>
          <w:spacing w:val="-10"/>
        </w:rPr>
        <w:t> </w:t>
      </w:r>
      <w:r>
        <w:rPr/>
        <w:t>quarry</w:t>
      </w:r>
      <w:r>
        <w:rPr>
          <w:spacing w:val="-12"/>
        </w:rPr>
        <w:t> </w:t>
      </w:r>
      <w:r>
        <w:rPr/>
        <w:t>activity and energy infrastructure. Public utilities are available in the Transition Policy Area, though the transportation network is limited in certain places. Large amounts of open space, trails, and parks provide recreational opportunities</w:t>
      </w:r>
      <w:r>
        <w:rPr>
          <w:spacing w:val="20"/>
        </w:rPr>
        <w:t> </w:t>
      </w:r>
      <w:r>
        <w:rPr/>
        <w:t>for</w:t>
      </w:r>
    </w:p>
    <w:p>
      <w:pPr>
        <w:pStyle w:val="BodyText"/>
        <w:spacing w:line="256" w:lineRule="auto"/>
        <w:ind w:left="840" w:right="82"/>
      </w:pPr>
      <w:r>
        <w:rPr/>
        <w:t>residents of the entire County and help to maintain a visual transition between the more densely populated east and the rural west.</w:t>
      </w:r>
    </w:p>
    <w:p>
      <w:pPr>
        <w:pStyle w:val="Heading2"/>
        <w:spacing w:before="136"/>
      </w:pPr>
      <w:r>
        <w:rPr>
          <w:color w:val="396230"/>
        </w:rPr>
        <w:t>Rural Policy Area</w:t>
      </w:r>
    </w:p>
    <w:p>
      <w:pPr>
        <w:pStyle w:val="BodyText"/>
        <w:spacing w:line="259" w:lineRule="auto" w:before="52"/>
        <w:ind w:left="840" w:right="5897"/>
        <w:jc w:val="both"/>
      </w:pPr>
      <w:r>
        <w:rPr/>
        <w:t>The western 230,000-acre Rural Policy Area comprises nearly two-thirds of Loudoun’s land area and contains twelve historic Rural Villages. This area is planned for limited residential development and supports a robust rural economy. </w:t>
      </w:r>
      <w:r>
        <w:rPr>
          <w:i/>
        </w:rPr>
        <w:t>Loudoun 2040 </w:t>
      </w:r>
      <w:r>
        <w:rPr/>
        <w:t>includes policies that protect the landscape, economy, and the existing community character of the Rural Policy Area, emphasizing the preservation of farmland,</w:t>
      </w:r>
    </w:p>
    <w:p>
      <w:pPr>
        <w:spacing w:after="0" w:line="259" w:lineRule="auto"/>
        <w:jc w:val="both"/>
        <w:sectPr>
          <w:pgSz w:w="12240" w:h="15840"/>
          <w:pgMar w:header="719" w:footer="1016" w:top="920" w:bottom="1200" w:left="600" w:right="600"/>
        </w:sectPr>
      </w:pPr>
    </w:p>
    <w:p>
      <w:pPr>
        <w:pStyle w:val="BodyText"/>
        <w:spacing w:line="256" w:lineRule="auto"/>
        <w:ind w:left="840"/>
        <w:jc w:val="both"/>
      </w:pPr>
      <w:r>
        <w:rPr/>
        <w:pict>
          <v:group style="position:absolute;margin-left:66pt;margin-top:75.699997pt;width:471.5pt;height:633.050pt;mso-position-horizontal-relative:page;mso-position-vertical-relative:page;z-index:-17896" coordorigin="1320,1514" coordsize="9430,12661">
            <v:shape style="position:absolute;left:1801;top:3730;width:7906;height:8380" coordorigin="1801,3730" coordsize="7906,8380" path="m4498,10994l4492,10921,4477,10842,4455,10760,4432,10690,4402,10618,4367,10543,4325,10465,4276,10385,4236,10326,4200,10275,4200,10961,4197,11017,4185,11074,4167,11131,4138,11191,4097,11254,4044,11320,3979,11389,3674,11695,2216,10237,2517,9936,2598,9860,2672,9800,2740,9757,2801,9730,2868,9715,2941,9711,3020,9718,3105,9736,3195,9765,3255,9791,3317,9823,3380,9862,3446,9907,3514,9958,3584,10016,3656,10081,3729,10153,3789,10214,3844,10274,3896,10333,3943,10391,3986,10448,4024,10503,4059,10557,4101,10632,4136,10704,4163,10773,4183,10840,4196,10904,4200,10961,4200,10275,4194,10266,4148,10206,4098,10146,4045,10085,3989,10023,3929,9961,3865,9899,3801,9841,3737,9786,3673,9734,3643,9711,3609,9686,3546,9642,3482,9600,3419,9563,3346,9525,3274,9493,3203,9465,3132,9443,3062,9426,2992,9414,2923,9407,2850,9406,2779,9412,2709,9427,2642,9450,2577,9480,2528,9509,2476,9546,2420,9591,2359,9645,2294,9708,1801,10201,3710,12109,4124,11695,4226,11593,4287,11528,4341,11462,4386,11397,4424,11330,4454,11263,4476,11197,4491,11130,4498,11063,4498,10994m6418,9401l6056,9273,5650,9130,5561,9101,5475,9077,5393,9058,5364,9053,5314,9044,5239,9034,5193,9032,5143,9035,5089,9042,5030,9053,5074,8983,5109,8914,5136,8845,5154,8776,5164,8707,5165,8639,5157,8571,5139,8493,5111,8417,5075,8342,5030,8270,4976,8199,4956,8176,4913,8130,4872,8092,4872,8649,4868,8705,4854,8760,4830,8816,4794,8875,4747,8936,4687,9000,4413,9273,4280,9407,3649,8775,4102,8322,4166,8265,4229,8222,4293,8193,4358,8177,4422,8176,4501,8191,4577,8221,4649,8266,4718,8326,4761,8373,4797,8424,4827,8478,4851,8534,4867,8592,4872,8649,4872,8092,4849,8071,4782,8018,4713,7973,4641,7934,4566,7902,4474,7874,4386,7861,4303,7863,4225,7879,4163,7904,4098,7940,4030,7989,3958,8048,3883,8119,3248,8754,5157,10662,5346,10473,4499,9625,4718,9407,4753,9372,4783,9345,4810,9324,4833,9309,4863,9296,4896,9285,4932,9277,4971,9273,5014,9273,5066,9278,5125,9289,5194,9305,5256,9322,5328,9343,5407,9368,5496,9398,6180,9639,6418,9401m7780,8039l7415,7843,6555,7389,6555,7696,6070,8182,5989,8038,5748,7608,5708,7536,5668,7465,5629,7399,5590,7334,5550,7270,5509,7207,5467,7145,5424,7084,5380,7023,5436,7059,5498,7097,5564,7137,5635,7179,5792,7269,6555,7696,6555,7389,5862,7023,5286,6716,5082,6920,5277,7271,5316,7341,5701,8039,6168,8887,6441,9378,6642,9177,6565,9044,6298,8575,6221,8442,6481,8182,6820,7843,7565,8254,7780,8039m8131,7688l7264,6821,7489,6596,7936,6149,7711,5924,7039,6596,6448,6005,7224,5229,6999,5004,6033,5969,7941,7877,8131,7688m9707,6112l8213,4618,8024,4429,8497,3955,8272,3730,7138,4865,7363,5090,7834,4618,9517,6301,9707,6112e" filled="true" fillcolor="#c0c0c0" stroked="false">
              <v:path arrowok="t"/>
              <v:fill opacity="32896f" type="solid"/>
            </v:shape>
            <v:shape style="position:absolute;left:1440;top:4110;width:4500;height:1022" type="#_x0000_t75" stroked="false">
              <v:imagedata r:id="rId16" o:title=""/>
            </v:shape>
            <v:shape style="position:absolute;left:1320;top:10554;width:4620;height:2973" type="#_x0000_t75" stroked="false">
              <v:imagedata r:id="rId17" o:title=""/>
            </v:shape>
            <v:shape style="position:absolute;left:1320;top:13545;width:4605;height:630" type="#_x0000_t75" stroked="false">
              <v:imagedata r:id="rId18" o:title=""/>
            </v:shape>
            <v:shape style="position:absolute;left:5918;top:6039;width:4832;height:4199" type="#_x0000_t75" stroked="false">
              <v:imagedata r:id="rId19" o:title=""/>
            </v:shape>
            <v:shape style="position:absolute;left:1440;top:1514;width:4500;height:2641" type="#_x0000_t75" stroked="false">
              <v:imagedata r:id="rId20" o:title=""/>
            </v:shape>
            <w10:wrap type="none"/>
          </v:group>
        </w:pict>
      </w:r>
      <w:r>
        <w:rPr/>
        <w:t>natural and heritage resources, open space, and vistas that are vital aspects of</w:t>
      </w:r>
      <w:r>
        <w:rPr>
          <w:spacing w:val="-37"/>
        </w:rPr>
        <w:t> </w:t>
      </w:r>
      <w:r>
        <w:rPr/>
        <w:t>Loudoun’s identity.</w:t>
      </w:r>
    </w:p>
    <w:p>
      <w:pPr>
        <w:spacing w:before="33"/>
        <w:ind w:left="149" w:right="903" w:firstLine="0"/>
        <w:jc w:val="both"/>
        <w:rPr>
          <w:i/>
          <w:sz w:val="18"/>
        </w:rPr>
      </w:pPr>
      <w:r>
        <w:rPr/>
        <w:br w:type="column"/>
      </w:r>
      <w:r>
        <w:rPr>
          <w:i/>
          <w:sz w:val="18"/>
        </w:rPr>
        <w:t>The Loudoun 2040 General Plan recognizes the importance of </w:t>
      </w:r>
      <w:r>
        <w:rPr>
          <w:i/>
          <w:sz w:val="18"/>
        </w:rPr>
        <w:t>protecting the pastoral landscapes and agricultural character of Loudoun's Rural Policy Area.</w:t>
      </w:r>
    </w:p>
    <w:p>
      <w:pPr>
        <w:pStyle w:val="BodyText"/>
        <w:rPr>
          <w:i/>
          <w:sz w:val="20"/>
        </w:rPr>
      </w:pPr>
    </w:p>
    <w:p>
      <w:pPr>
        <w:pStyle w:val="Heading2"/>
        <w:spacing w:line="259" w:lineRule="auto" w:before="141"/>
        <w:ind w:left="346" w:right="835"/>
        <w:jc w:val="both"/>
      </w:pPr>
      <w:r>
        <w:rPr>
          <w:color w:val="396230"/>
          <w:w w:val="105"/>
        </w:rPr>
        <w:t>Towns</w:t>
      </w:r>
      <w:r>
        <w:rPr>
          <w:color w:val="396230"/>
          <w:spacing w:val="-39"/>
          <w:w w:val="105"/>
        </w:rPr>
        <w:t> </w:t>
      </w:r>
      <w:r>
        <w:rPr>
          <w:color w:val="396230"/>
          <w:w w:val="105"/>
        </w:rPr>
        <w:t>and</w:t>
      </w:r>
      <w:r>
        <w:rPr>
          <w:color w:val="396230"/>
          <w:spacing w:val="-41"/>
          <w:w w:val="105"/>
        </w:rPr>
        <w:t> </w:t>
      </w:r>
      <w:r>
        <w:rPr>
          <w:color w:val="396230"/>
          <w:w w:val="105"/>
        </w:rPr>
        <w:t>Joint</w:t>
      </w:r>
      <w:r>
        <w:rPr>
          <w:color w:val="396230"/>
          <w:spacing w:val="-39"/>
          <w:w w:val="105"/>
        </w:rPr>
        <w:t> </w:t>
      </w:r>
      <w:r>
        <w:rPr>
          <w:color w:val="396230"/>
          <w:w w:val="105"/>
        </w:rPr>
        <w:t>Land</w:t>
      </w:r>
      <w:r>
        <w:rPr>
          <w:color w:val="396230"/>
          <w:spacing w:val="-39"/>
          <w:w w:val="105"/>
        </w:rPr>
        <w:t> </w:t>
      </w:r>
      <w:r>
        <w:rPr>
          <w:color w:val="396230"/>
          <w:w w:val="105"/>
        </w:rPr>
        <w:t>Management Areas</w:t>
      </w:r>
    </w:p>
    <w:p>
      <w:pPr>
        <w:pStyle w:val="BodyText"/>
        <w:spacing w:line="259" w:lineRule="auto" w:before="26"/>
        <w:ind w:left="346" w:right="831"/>
        <w:jc w:val="both"/>
      </w:pPr>
      <w:r>
        <w:rPr/>
        <w:pict>
          <v:shape style="position:absolute;margin-left:66pt;margin-top:118.603134pt;width:230.25pt;height:31.5pt;mso-position-horizontal-relative:page;mso-position-vertical-relative:paragraph;z-index:1240" type="#_x0000_t202" filled="false" stroked="false">
            <v:textbox inset="0,0,0,0">
              <w:txbxContent>
                <w:p>
                  <w:pPr>
                    <w:spacing w:before="117"/>
                    <w:ind w:left="0" w:right="0" w:firstLine="0"/>
                    <w:jc w:val="left"/>
                    <w:rPr>
                      <w:i/>
                      <w:sz w:val="18"/>
                    </w:rPr>
                  </w:pPr>
                  <w:r>
                    <w:rPr>
                      <w:i/>
                      <w:sz w:val="18"/>
                    </w:rPr>
                    <w:t>Loudoun County’s western landscape is dotted with historic </w:t>
                  </w:r>
                  <w:r>
                    <w:rPr>
                      <w:i/>
                      <w:sz w:val="18"/>
                    </w:rPr>
                    <w:t>towns that serve as hubs for the rural</w:t>
                  </w:r>
                  <w:r>
                    <w:rPr>
                      <w:i/>
                      <w:spacing w:val="-5"/>
                      <w:sz w:val="18"/>
                    </w:rPr>
                    <w:t> </w:t>
                  </w:r>
                  <w:r>
                    <w:rPr>
                      <w:i/>
                      <w:sz w:val="18"/>
                    </w:rPr>
                    <w:t>community.</w:t>
                  </w:r>
                </w:p>
              </w:txbxContent>
            </v:textbox>
            <w10:wrap type="none"/>
          </v:shape>
        </w:pict>
      </w:r>
      <w:r>
        <w:rPr/>
        <w:t>Loudoun County’s seven towns exercise planning and zoning controls within their corporate limits. In addition to the four Policy Areas, the County has partnered with several of its towns to develop Joint Land Management Areas (JLMA) around the edges of the towns. A JLMA is a planning area where Loudoun and each respective town set the limits for municipal water and sewer extension. These JLMA planning areas effectively serve as a growth</w:t>
      </w:r>
    </w:p>
    <w:p>
      <w:pPr>
        <w:spacing w:after="0" w:line="259" w:lineRule="auto"/>
        <w:jc w:val="both"/>
        <w:sectPr>
          <w:type w:val="continuous"/>
          <w:pgSz w:w="12240" w:h="15840"/>
          <w:pgMar w:top="1540" w:bottom="1460" w:left="600" w:right="600"/>
          <w:cols w:num="2" w:equalWidth="0">
            <w:col w:w="5136" w:space="40"/>
            <w:col w:w="5864"/>
          </w:cols>
        </w:sectPr>
      </w:pPr>
    </w:p>
    <w:p>
      <w:pPr>
        <w:pStyle w:val="BodyText"/>
        <w:rPr>
          <w:sz w:val="20"/>
        </w:rPr>
      </w:pPr>
    </w:p>
    <w:p>
      <w:pPr>
        <w:pStyle w:val="BodyText"/>
        <w:rPr>
          <w:sz w:val="23"/>
        </w:rPr>
      </w:pPr>
    </w:p>
    <w:p>
      <w:pPr>
        <w:pStyle w:val="BodyText"/>
        <w:spacing w:line="256" w:lineRule="auto"/>
        <w:ind w:left="840" w:right="839"/>
        <w:jc w:val="both"/>
      </w:pPr>
      <w:r>
        <w:rPr/>
        <w:t>boundary for each town and are intended to manage new growth and expansion outward from the towns.</w:t>
      </w:r>
    </w:p>
    <w:p>
      <w:pPr>
        <w:pStyle w:val="Heading1"/>
        <w:spacing w:before="174"/>
        <w:jc w:val="left"/>
      </w:pPr>
      <w:bookmarkStart w:name="_TOC_250003" w:id="3"/>
      <w:bookmarkEnd w:id="3"/>
      <w:r>
        <w:rPr>
          <w:w w:val="95"/>
        </w:rPr>
        <w:t>Loudoun County: Trends and Influences</w:t>
      </w:r>
    </w:p>
    <w:p>
      <w:pPr>
        <w:pStyle w:val="BodyText"/>
        <w:spacing w:line="259" w:lineRule="auto" w:before="145"/>
        <w:ind w:left="840" w:right="835"/>
        <w:jc w:val="both"/>
      </w:pPr>
      <w:r>
        <w:rPr/>
        <w:pict>
          <v:group style="position:absolute;margin-left:72.024002pt;margin-top:44.45314pt;width:465.1pt;height:419pt;mso-position-horizontal-relative:page;mso-position-vertical-relative:paragraph;z-index:-17800" coordorigin="1440,889" coordsize="9302,8380">
            <v:shape style="position:absolute;left:1801;top:889;width:7906;height:8380" coordorigin="1801,889" coordsize="7906,8380" path="m4498,8153l4492,8079,4477,8001,4455,7918,4432,7849,4402,7777,4367,7702,4325,7624,4276,7543,4236,7485,4200,7434,4200,8119,4197,8176,4185,8233,4167,8290,4138,8350,4097,8413,4044,8479,3979,8548,3674,8853,2216,7396,2517,7095,2598,7019,2672,6959,2740,6915,2801,6889,2868,6874,2941,6870,3020,6877,3105,6895,3195,6924,3255,6950,3317,6982,3380,7021,3446,7066,3514,7117,3584,7175,3656,7240,3729,7311,3789,7373,3844,7433,3896,7492,3943,7550,3986,7607,4024,7662,4059,7716,4101,7790,4136,7863,4163,7932,4183,7999,4196,8063,4200,8119,4200,7434,4194,7425,4148,7365,4098,7304,4045,7243,3989,7182,3929,7120,3865,7058,3801,7000,3737,6945,3673,6893,3643,6870,3609,6845,3546,6801,3482,6759,3419,6721,3346,6684,3274,6651,3203,6624,3132,6602,3062,6585,2992,6573,2923,6566,2850,6564,2779,6571,2709,6586,2642,6609,2577,6639,2528,6668,2476,6705,2420,6750,2359,6804,2294,6867,1801,7360,3710,9268,4124,8853,4226,8752,4287,8687,4341,8621,4386,8555,4424,8489,4454,8422,4476,8356,4491,8289,4498,8221,4498,8153m6418,6560l6056,6432,5650,6289,5561,6260,5475,6236,5393,6217,5365,6212,5314,6203,5239,6192,5193,6191,5143,6194,5089,6201,5030,6212,5074,6142,5109,6073,5136,6003,5154,5935,5164,5866,5165,5798,5157,5730,5139,5652,5111,5576,5075,5501,5030,5429,4976,5358,4956,5335,4913,5289,4872,5251,4872,5808,4868,5864,4854,5919,4830,5975,4794,6034,4747,6095,4687,6158,4413,6432,4280,6565,3649,5934,4102,5481,4166,5424,4229,5381,4293,5352,4358,5336,4422,5335,4501,5350,4577,5380,4649,5425,4718,5484,4761,5532,4797,5583,4827,5637,4851,5693,4867,5751,4872,5808,4872,5251,4849,5230,4782,5177,4713,5132,4641,5093,4566,5061,4474,5033,4386,5020,4303,5022,4225,5038,4163,5063,4098,5099,4030,5147,3958,5207,3883,5278,3248,5913,5157,7821,5346,7632,4499,6784,4718,6565,4753,6531,4783,6504,4810,6483,4833,6468,4863,6455,4896,6444,4932,6436,4971,6432,5014,6432,5066,6437,5125,6448,5194,6464,5256,6481,5328,6502,5407,6527,5496,6556,6180,6798,6418,6560m7780,5197l7415,5002,6555,4548,6555,4855,6070,5340,5989,5197,5748,4767,5708,4695,5668,4623,5629,4558,5590,4493,5550,4429,5509,4366,5467,4304,5424,4243,5380,4182,5436,4218,5498,4255,5564,4295,5635,4337,5792,4428,6555,4855,6555,4548,5862,4182,5286,3875,5082,4079,5277,4430,5316,4500,5701,5197,6168,6046,6441,6537,6642,6336,6565,6202,6298,5734,6221,5601,6481,5340,6820,5002,7565,5413,7780,5197m8131,4847l7264,3980,7489,3755,7936,3308,7711,3083,7039,3755,6448,3164,7224,2387,6999,2162,6033,3128,7941,5036,8131,4847m9707,3271l8213,1777,8024,1588,8497,1114,8272,889,7138,2024,7363,2249,7834,1777,9517,3460,9707,3271e" filled="true" fillcolor="#c0c0c0" stroked="false">
              <v:path arrowok="t"/>
              <v:fill opacity="32896f" type="solid"/>
            </v:shape>
            <v:line style="position:absolute" from="1440,6852" to="10742,6852" stroked="true" strokeweight=".95999pt" strokecolor="#396230">
              <v:stroke dashstyle="solid"/>
            </v:line>
            <w10:wrap type="none"/>
          </v:group>
        </w:pict>
      </w:r>
      <w:r>
        <w:rPr/>
        <w:t>Loudoun</w:t>
      </w:r>
      <w:r>
        <w:rPr>
          <w:spacing w:val="-6"/>
        </w:rPr>
        <w:t> </w:t>
      </w:r>
      <w:r>
        <w:rPr/>
        <w:t>County</w:t>
      </w:r>
      <w:r>
        <w:rPr>
          <w:spacing w:val="-11"/>
        </w:rPr>
        <w:t> </w:t>
      </w:r>
      <w:r>
        <w:rPr/>
        <w:t>has</w:t>
      </w:r>
      <w:r>
        <w:rPr>
          <w:spacing w:val="-5"/>
        </w:rPr>
        <w:t> </w:t>
      </w:r>
      <w:r>
        <w:rPr/>
        <w:t>rapidly</w:t>
      </w:r>
      <w:r>
        <w:rPr>
          <w:spacing w:val="-13"/>
        </w:rPr>
        <w:t> </w:t>
      </w:r>
      <w:r>
        <w:rPr/>
        <w:t>transformed</w:t>
      </w:r>
      <w:r>
        <w:rPr>
          <w:spacing w:val="-6"/>
        </w:rPr>
        <w:t> </w:t>
      </w:r>
      <w:r>
        <w:rPr/>
        <w:t>from</w:t>
      </w:r>
      <w:r>
        <w:rPr>
          <w:spacing w:val="-6"/>
        </w:rPr>
        <w:t> </w:t>
      </w:r>
      <w:r>
        <w:rPr/>
        <w:t>a</w:t>
      </w:r>
      <w:r>
        <w:rPr>
          <w:spacing w:val="-7"/>
        </w:rPr>
        <w:t> </w:t>
      </w:r>
      <w:r>
        <w:rPr/>
        <w:t>farming</w:t>
      </w:r>
      <w:r>
        <w:rPr>
          <w:spacing w:val="-8"/>
        </w:rPr>
        <w:t> </w:t>
      </w:r>
      <w:r>
        <w:rPr/>
        <w:t>community</w:t>
      </w:r>
      <w:r>
        <w:rPr>
          <w:spacing w:val="-11"/>
        </w:rPr>
        <w:t> </w:t>
      </w:r>
      <w:r>
        <w:rPr/>
        <w:t>to</w:t>
      </w:r>
      <w:r>
        <w:rPr>
          <w:spacing w:val="-6"/>
        </w:rPr>
        <w:t> </w:t>
      </w:r>
      <w:r>
        <w:rPr/>
        <w:t>one</w:t>
      </w:r>
      <w:r>
        <w:rPr>
          <w:spacing w:val="-7"/>
        </w:rPr>
        <w:t> </w:t>
      </w:r>
      <w:r>
        <w:rPr/>
        <w:t>of</w:t>
      </w:r>
      <w:r>
        <w:rPr>
          <w:spacing w:val="-7"/>
        </w:rPr>
        <w:t> </w:t>
      </w:r>
      <w:r>
        <w:rPr/>
        <w:t>the</w:t>
      </w:r>
      <w:r>
        <w:rPr>
          <w:spacing w:val="-7"/>
        </w:rPr>
        <w:t> </w:t>
      </w:r>
      <w:r>
        <w:rPr/>
        <w:t>fastest</w:t>
      </w:r>
      <w:r>
        <w:rPr>
          <w:spacing w:val="-6"/>
        </w:rPr>
        <w:t> </w:t>
      </w:r>
      <w:r>
        <w:rPr/>
        <w:t>growing counties</w:t>
      </w:r>
      <w:r>
        <w:rPr>
          <w:spacing w:val="-9"/>
        </w:rPr>
        <w:t> </w:t>
      </w:r>
      <w:r>
        <w:rPr/>
        <w:t>in</w:t>
      </w:r>
      <w:r>
        <w:rPr>
          <w:spacing w:val="-9"/>
        </w:rPr>
        <w:t> </w:t>
      </w:r>
      <w:r>
        <w:rPr/>
        <w:t>the</w:t>
      </w:r>
      <w:r>
        <w:rPr>
          <w:spacing w:val="-10"/>
        </w:rPr>
        <w:t> </w:t>
      </w:r>
      <w:r>
        <w:rPr/>
        <w:t>nation,</w:t>
      </w:r>
      <w:r>
        <w:rPr>
          <w:spacing w:val="-10"/>
        </w:rPr>
        <w:t> </w:t>
      </w:r>
      <w:r>
        <w:rPr/>
        <w:t>ranking</w:t>
      </w:r>
      <w:r>
        <w:rPr>
          <w:spacing w:val="-12"/>
        </w:rPr>
        <w:t> </w:t>
      </w:r>
      <w:r>
        <w:rPr/>
        <w:t>fifth</w:t>
      </w:r>
      <w:r>
        <w:rPr>
          <w:spacing w:val="-9"/>
        </w:rPr>
        <w:t> </w:t>
      </w:r>
      <w:r>
        <w:rPr/>
        <w:t>in</w:t>
      </w:r>
      <w:r>
        <w:rPr>
          <w:spacing w:val="-9"/>
        </w:rPr>
        <w:t> </w:t>
      </w:r>
      <w:r>
        <w:rPr/>
        <w:t>the</w:t>
      </w:r>
      <w:r>
        <w:rPr>
          <w:spacing w:val="-10"/>
        </w:rPr>
        <w:t> </w:t>
      </w:r>
      <w:r>
        <w:rPr/>
        <w:t>country</w:t>
      </w:r>
      <w:r>
        <w:rPr>
          <w:spacing w:val="-14"/>
        </w:rPr>
        <w:t> </w:t>
      </w:r>
      <w:r>
        <w:rPr/>
        <w:t>for</w:t>
      </w:r>
      <w:r>
        <w:rPr>
          <w:spacing w:val="-10"/>
        </w:rPr>
        <w:t> </w:t>
      </w:r>
      <w:r>
        <w:rPr/>
        <w:t>growth</w:t>
      </w:r>
      <w:r>
        <w:rPr>
          <w:spacing w:val="-9"/>
        </w:rPr>
        <w:t> </w:t>
      </w:r>
      <w:r>
        <w:rPr/>
        <w:t>between</w:t>
      </w:r>
      <w:r>
        <w:rPr>
          <w:spacing w:val="-10"/>
        </w:rPr>
        <w:t> </w:t>
      </w:r>
      <w:r>
        <w:rPr/>
        <w:t>2000</w:t>
      </w:r>
      <w:r>
        <w:rPr>
          <w:spacing w:val="-10"/>
        </w:rPr>
        <w:t> </w:t>
      </w:r>
      <w:r>
        <w:rPr/>
        <w:t>and</w:t>
      </w:r>
      <w:r>
        <w:rPr>
          <w:spacing w:val="-10"/>
        </w:rPr>
        <w:t> </w:t>
      </w:r>
      <w:r>
        <w:rPr/>
        <w:t>2010.</w:t>
      </w:r>
      <w:r>
        <w:rPr>
          <w:spacing w:val="-10"/>
        </w:rPr>
        <w:t> </w:t>
      </w:r>
      <w:r>
        <w:rPr/>
        <w:t>This</w:t>
      </w:r>
      <w:r>
        <w:rPr>
          <w:spacing w:val="-9"/>
        </w:rPr>
        <w:t> </w:t>
      </w:r>
      <w:r>
        <w:rPr/>
        <w:t>growth has</w:t>
      </w:r>
      <w:r>
        <w:rPr>
          <w:spacing w:val="-6"/>
        </w:rPr>
        <w:t> </w:t>
      </w:r>
      <w:r>
        <w:rPr/>
        <w:t>slowed</w:t>
      </w:r>
      <w:r>
        <w:rPr>
          <w:spacing w:val="-6"/>
        </w:rPr>
        <w:t> </w:t>
      </w:r>
      <w:r>
        <w:rPr/>
        <w:t>somewhat</w:t>
      </w:r>
      <w:r>
        <w:rPr>
          <w:spacing w:val="-6"/>
        </w:rPr>
        <w:t> </w:t>
      </w:r>
      <w:r>
        <w:rPr/>
        <w:t>as</w:t>
      </w:r>
      <w:r>
        <w:rPr>
          <w:spacing w:val="-4"/>
        </w:rPr>
        <w:t> </w:t>
      </w:r>
      <w:r>
        <w:rPr/>
        <w:t>the</w:t>
      </w:r>
      <w:r>
        <w:rPr>
          <w:spacing w:val="-7"/>
        </w:rPr>
        <w:t> </w:t>
      </w:r>
      <w:r>
        <w:rPr/>
        <w:t>eastern</w:t>
      </w:r>
      <w:r>
        <w:rPr>
          <w:spacing w:val="-6"/>
        </w:rPr>
        <w:t> </w:t>
      </w:r>
      <w:r>
        <w:rPr/>
        <w:t>part</w:t>
      </w:r>
      <w:r>
        <w:rPr>
          <w:spacing w:val="-7"/>
        </w:rPr>
        <w:t> </w:t>
      </w:r>
      <w:r>
        <w:rPr/>
        <w:t>of</w:t>
      </w:r>
      <w:r>
        <w:rPr>
          <w:spacing w:val="-7"/>
        </w:rPr>
        <w:t> </w:t>
      </w:r>
      <w:r>
        <w:rPr/>
        <w:t>the</w:t>
      </w:r>
      <w:r>
        <w:rPr>
          <w:spacing w:val="-7"/>
        </w:rPr>
        <w:t> </w:t>
      </w:r>
      <w:r>
        <w:rPr/>
        <w:t>County</w:t>
      </w:r>
      <w:r>
        <w:rPr>
          <w:spacing w:val="-11"/>
        </w:rPr>
        <w:t> </w:t>
      </w:r>
      <w:r>
        <w:rPr/>
        <w:t>has</w:t>
      </w:r>
      <w:r>
        <w:rPr>
          <w:spacing w:val="-6"/>
        </w:rPr>
        <w:t> </w:t>
      </w:r>
      <w:r>
        <w:rPr/>
        <w:t>approached</w:t>
      </w:r>
      <w:r>
        <w:rPr>
          <w:spacing w:val="-6"/>
        </w:rPr>
        <w:t> </w:t>
      </w:r>
      <w:r>
        <w:rPr/>
        <w:t>build</w:t>
      </w:r>
      <w:r>
        <w:rPr>
          <w:spacing w:val="-6"/>
        </w:rPr>
        <w:t> </w:t>
      </w:r>
      <w:r>
        <w:rPr/>
        <w:t>out,</w:t>
      </w:r>
      <w:r>
        <w:rPr>
          <w:spacing w:val="-6"/>
        </w:rPr>
        <w:t> </w:t>
      </w:r>
      <w:r>
        <w:rPr/>
        <w:t>but</w:t>
      </w:r>
      <w:r>
        <w:rPr>
          <w:spacing w:val="-6"/>
        </w:rPr>
        <w:t> </w:t>
      </w:r>
      <w:r>
        <w:rPr/>
        <w:t>the</w:t>
      </w:r>
      <w:r>
        <w:rPr>
          <w:spacing w:val="-7"/>
        </w:rPr>
        <w:t> </w:t>
      </w:r>
      <w:r>
        <w:rPr/>
        <w:t>County’s proximity to Washington, D.C. will continue to drive market demand. </w:t>
      </w:r>
      <w:r>
        <w:rPr>
          <w:i/>
        </w:rPr>
        <w:t>Loudoun 2040 </w:t>
      </w:r>
      <w:r>
        <w:rPr/>
        <w:t>identifies a number of trends and influences, including population diversity, housing affordability, and land availability that will affect future demand for both residential and nonresidential</w:t>
      </w:r>
      <w:r>
        <w:rPr>
          <w:spacing w:val="-9"/>
        </w:rPr>
        <w:t> </w:t>
      </w:r>
      <w:r>
        <w:rPr/>
        <w:t>products.</w:t>
      </w:r>
    </w:p>
    <w:p>
      <w:pPr>
        <w:pStyle w:val="BodyText"/>
        <w:spacing w:before="3"/>
        <w:rPr>
          <w:sz w:val="10"/>
        </w:rPr>
      </w:pPr>
      <w:r>
        <w:rPr/>
        <w:pict>
          <v:shape style="position:absolute;margin-left:72pt;margin-top:8.253955pt;width:464pt;height:234pt;mso-position-horizontal-relative:page;mso-position-vertical-relative:paragraph;z-index:1288;mso-wrap-distance-left:0;mso-wrap-distance-right:0" type="#_x0000_t202" filled="true" fillcolor="#f1f1f1" stroked="true" strokeweight=".75pt" strokecolor="#000000">
            <v:textbox inset="0,0,0,0">
              <w:txbxContent>
                <w:p>
                  <w:pPr>
                    <w:spacing w:before="113"/>
                    <w:ind w:left="144" w:right="0" w:firstLine="0"/>
                    <w:jc w:val="left"/>
                    <w:rPr>
                      <w:rFonts w:ascii="Verdana"/>
                      <w:b/>
                      <w:sz w:val="24"/>
                    </w:rPr>
                  </w:pPr>
                  <w:r>
                    <w:rPr>
                      <w:rFonts w:ascii="Verdana"/>
                      <w:b/>
                      <w:w w:val="95"/>
                      <w:sz w:val="24"/>
                      <w:u w:val="thick"/>
                    </w:rPr>
                    <w:t>Loudoun by the Numbers</w:t>
                  </w:r>
                </w:p>
                <w:p>
                  <w:pPr>
                    <w:numPr>
                      <w:ilvl w:val="0"/>
                      <w:numId w:val="1"/>
                    </w:numPr>
                    <w:tabs>
                      <w:tab w:pos="684" w:val="left" w:leader="none"/>
                      <w:tab w:pos="685" w:val="left" w:leader="none"/>
                    </w:tabs>
                    <w:spacing w:before="2"/>
                    <w:ind w:left="684" w:right="0" w:hanging="360"/>
                    <w:jc w:val="left"/>
                    <w:rPr>
                      <w:rFonts w:ascii="Tahoma" w:hAnsi="Tahoma"/>
                      <w:sz w:val="22"/>
                    </w:rPr>
                  </w:pPr>
                  <w:r>
                    <w:rPr>
                      <w:rFonts w:ascii="Trebuchet MS" w:hAnsi="Trebuchet MS"/>
                      <w:b/>
                      <w:color w:val="396230"/>
                      <w:sz w:val="22"/>
                    </w:rPr>
                    <w:t>362,400: </w:t>
                  </w:r>
                  <w:r>
                    <w:rPr>
                      <w:rFonts w:ascii="Tahoma" w:hAnsi="Tahoma"/>
                      <w:sz w:val="22"/>
                    </w:rPr>
                    <w:t>Loudoun County’s</w:t>
                  </w:r>
                  <w:r>
                    <w:rPr>
                      <w:rFonts w:ascii="Tahoma" w:hAnsi="Tahoma"/>
                      <w:spacing w:val="-30"/>
                      <w:sz w:val="22"/>
                    </w:rPr>
                    <w:t> </w:t>
                  </w:r>
                  <w:r>
                    <w:rPr>
                      <w:rFonts w:ascii="Tahoma" w:hAnsi="Tahoma"/>
                      <w:sz w:val="22"/>
                    </w:rPr>
                    <w:t>population.</w:t>
                  </w:r>
                </w:p>
                <w:p>
                  <w:pPr>
                    <w:numPr>
                      <w:ilvl w:val="0"/>
                      <w:numId w:val="1"/>
                    </w:numPr>
                    <w:tabs>
                      <w:tab w:pos="684" w:val="left" w:leader="none"/>
                      <w:tab w:pos="685" w:val="left" w:leader="none"/>
                    </w:tabs>
                    <w:spacing w:before="23"/>
                    <w:ind w:left="684" w:right="0" w:hanging="360"/>
                    <w:jc w:val="left"/>
                    <w:rPr>
                      <w:rFonts w:ascii="Tahoma"/>
                      <w:sz w:val="22"/>
                    </w:rPr>
                  </w:pPr>
                  <w:r>
                    <w:rPr>
                      <w:rFonts w:ascii="Trebuchet MS"/>
                      <w:b/>
                      <w:color w:val="396230"/>
                      <w:sz w:val="22"/>
                    </w:rPr>
                    <w:t>117,100: </w:t>
                  </w:r>
                  <w:r>
                    <w:rPr>
                      <w:rFonts w:ascii="Tahoma"/>
                      <w:sz w:val="22"/>
                    </w:rPr>
                    <w:t>Number of</w:t>
                  </w:r>
                  <w:r>
                    <w:rPr>
                      <w:rFonts w:ascii="Tahoma"/>
                      <w:spacing w:val="-30"/>
                      <w:sz w:val="22"/>
                    </w:rPr>
                    <w:t> </w:t>
                  </w:r>
                  <w:r>
                    <w:rPr>
                      <w:rFonts w:ascii="Tahoma"/>
                      <w:sz w:val="22"/>
                    </w:rPr>
                    <w:t>households.</w:t>
                  </w:r>
                </w:p>
                <w:p>
                  <w:pPr>
                    <w:numPr>
                      <w:ilvl w:val="0"/>
                      <w:numId w:val="1"/>
                    </w:numPr>
                    <w:tabs>
                      <w:tab w:pos="684" w:val="left" w:leader="none"/>
                      <w:tab w:pos="685" w:val="left" w:leader="none"/>
                    </w:tabs>
                    <w:spacing w:before="23"/>
                    <w:ind w:left="684" w:right="0" w:hanging="360"/>
                    <w:jc w:val="left"/>
                    <w:rPr>
                      <w:rFonts w:ascii="Tahoma"/>
                      <w:sz w:val="22"/>
                    </w:rPr>
                  </w:pPr>
                  <w:r>
                    <w:rPr>
                      <w:rFonts w:ascii="Trebuchet MS"/>
                      <w:b/>
                      <w:color w:val="396230"/>
                      <w:sz w:val="22"/>
                    </w:rPr>
                    <w:t>$125,672:</w:t>
                  </w:r>
                  <w:r>
                    <w:rPr>
                      <w:rFonts w:ascii="Trebuchet MS"/>
                      <w:b/>
                      <w:color w:val="396230"/>
                      <w:spacing w:val="-11"/>
                      <w:sz w:val="22"/>
                    </w:rPr>
                    <w:t> </w:t>
                  </w:r>
                  <w:r>
                    <w:rPr>
                      <w:rFonts w:ascii="Tahoma"/>
                      <w:sz w:val="22"/>
                    </w:rPr>
                    <w:t>Median</w:t>
                  </w:r>
                  <w:r>
                    <w:rPr>
                      <w:rFonts w:ascii="Tahoma"/>
                      <w:spacing w:val="-14"/>
                      <w:sz w:val="22"/>
                    </w:rPr>
                    <w:t> </w:t>
                  </w:r>
                  <w:r>
                    <w:rPr>
                      <w:rFonts w:ascii="Tahoma"/>
                      <w:sz w:val="22"/>
                    </w:rPr>
                    <w:t>annual</w:t>
                  </w:r>
                  <w:r>
                    <w:rPr>
                      <w:rFonts w:ascii="Tahoma"/>
                      <w:spacing w:val="-17"/>
                      <w:sz w:val="22"/>
                    </w:rPr>
                    <w:t> </w:t>
                  </w:r>
                  <w:r>
                    <w:rPr>
                      <w:rFonts w:ascii="Tahoma"/>
                      <w:sz w:val="22"/>
                    </w:rPr>
                    <w:t>household</w:t>
                  </w:r>
                  <w:r>
                    <w:rPr>
                      <w:rFonts w:ascii="Tahoma"/>
                      <w:spacing w:val="-15"/>
                      <w:sz w:val="22"/>
                    </w:rPr>
                    <w:t> </w:t>
                  </w:r>
                  <w:r>
                    <w:rPr>
                      <w:rFonts w:ascii="Tahoma"/>
                      <w:sz w:val="22"/>
                    </w:rPr>
                    <w:t>income.</w:t>
                  </w:r>
                </w:p>
                <w:p>
                  <w:pPr>
                    <w:numPr>
                      <w:ilvl w:val="0"/>
                      <w:numId w:val="1"/>
                    </w:numPr>
                    <w:tabs>
                      <w:tab w:pos="684" w:val="left" w:leader="none"/>
                      <w:tab w:pos="685" w:val="left" w:leader="none"/>
                    </w:tabs>
                    <w:spacing w:before="20"/>
                    <w:ind w:left="684" w:right="0" w:hanging="360"/>
                    <w:jc w:val="left"/>
                    <w:rPr>
                      <w:rFonts w:ascii="Tahoma"/>
                      <w:sz w:val="22"/>
                    </w:rPr>
                  </w:pPr>
                  <w:r>
                    <w:rPr>
                      <w:rFonts w:ascii="Trebuchet MS"/>
                      <w:b/>
                      <w:color w:val="396230"/>
                      <w:sz w:val="22"/>
                    </w:rPr>
                    <w:t>39:</w:t>
                  </w:r>
                  <w:r>
                    <w:rPr>
                      <w:rFonts w:ascii="Trebuchet MS"/>
                      <w:b/>
                      <w:color w:val="396230"/>
                      <w:spacing w:val="-16"/>
                      <w:sz w:val="22"/>
                    </w:rPr>
                    <w:t> </w:t>
                  </w:r>
                  <w:r>
                    <w:rPr>
                      <w:rFonts w:ascii="Tahoma"/>
                      <w:sz w:val="22"/>
                    </w:rPr>
                    <w:t>Percent</w:t>
                  </w:r>
                  <w:r>
                    <w:rPr>
                      <w:rFonts w:ascii="Tahoma"/>
                      <w:spacing w:val="-18"/>
                      <w:sz w:val="22"/>
                    </w:rPr>
                    <w:t> </w:t>
                  </w:r>
                  <w:r>
                    <w:rPr>
                      <w:rFonts w:ascii="Tahoma"/>
                      <w:sz w:val="22"/>
                    </w:rPr>
                    <w:t>of</w:t>
                  </w:r>
                  <w:r>
                    <w:rPr>
                      <w:rFonts w:ascii="Tahoma"/>
                      <w:spacing w:val="-18"/>
                      <w:sz w:val="22"/>
                    </w:rPr>
                    <w:t> </w:t>
                  </w:r>
                  <w:r>
                    <w:rPr>
                      <w:rFonts w:ascii="Tahoma"/>
                      <w:sz w:val="22"/>
                    </w:rPr>
                    <w:t>households</w:t>
                  </w:r>
                  <w:r>
                    <w:rPr>
                      <w:rFonts w:ascii="Tahoma"/>
                      <w:spacing w:val="-19"/>
                      <w:sz w:val="22"/>
                    </w:rPr>
                    <w:t> </w:t>
                  </w:r>
                  <w:r>
                    <w:rPr>
                      <w:rFonts w:ascii="Tahoma"/>
                      <w:sz w:val="22"/>
                    </w:rPr>
                    <w:t>with</w:t>
                  </w:r>
                  <w:r>
                    <w:rPr>
                      <w:rFonts w:ascii="Tahoma"/>
                      <w:spacing w:val="-16"/>
                      <w:sz w:val="22"/>
                    </w:rPr>
                    <w:t> </w:t>
                  </w:r>
                  <w:r>
                    <w:rPr>
                      <w:rFonts w:ascii="Tahoma"/>
                      <w:sz w:val="22"/>
                    </w:rPr>
                    <w:t>annual</w:t>
                  </w:r>
                  <w:r>
                    <w:rPr>
                      <w:rFonts w:ascii="Tahoma"/>
                      <w:spacing w:val="-17"/>
                      <w:sz w:val="22"/>
                    </w:rPr>
                    <w:t> </w:t>
                  </w:r>
                  <w:r>
                    <w:rPr>
                      <w:rFonts w:ascii="Tahoma"/>
                      <w:sz w:val="22"/>
                    </w:rPr>
                    <w:t>income</w:t>
                  </w:r>
                  <w:r>
                    <w:rPr>
                      <w:rFonts w:ascii="Tahoma"/>
                      <w:spacing w:val="-16"/>
                      <w:sz w:val="22"/>
                    </w:rPr>
                    <w:t> </w:t>
                  </w:r>
                  <w:r>
                    <w:rPr>
                      <w:rFonts w:ascii="Tahoma"/>
                      <w:sz w:val="22"/>
                    </w:rPr>
                    <w:t>above</w:t>
                  </w:r>
                  <w:r>
                    <w:rPr>
                      <w:rFonts w:ascii="Tahoma"/>
                      <w:spacing w:val="-19"/>
                      <w:sz w:val="22"/>
                    </w:rPr>
                    <w:t> </w:t>
                  </w:r>
                  <w:r>
                    <w:rPr>
                      <w:rFonts w:ascii="Tahoma"/>
                      <w:sz w:val="22"/>
                    </w:rPr>
                    <w:t>$150,000.</w:t>
                  </w:r>
                </w:p>
                <w:p>
                  <w:pPr>
                    <w:numPr>
                      <w:ilvl w:val="0"/>
                      <w:numId w:val="1"/>
                    </w:numPr>
                    <w:tabs>
                      <w:tab w:pos="684" w:val="left" w:leader="none"/>
                      <w:tab w:pos="685" w:val="left" w:leader="none"/>
                    </w:tabs>
                    <w:spacing w:before="23"/>
                    <w:ind w:left="684" w:right="0" w:hanging="360"/>
                    <w:jc w:val="left"/>
                    <w:rPr>
                      <w:rFonts w:ascii="Tahoma"/>
                      <w:sz w:val="22"/>
                    </w:rPr>
                  </w:pPr>
                  <w:r>
                    <w:rPr>
                      <w:rFonts w:ascii="Trebuchet MS"/>
                      <w:b/>
                      <w:color w:val="396230"/>
                      <w:sz w:val="22"/>
                    </w:rPr>
                    <w:t>3:</w:t>
                  </w:r>
                  <w:r>
                    <w:rPr>
                      <w:rFonts w:ascii="Trebuchet MS"/>
                      <w:b/>
                      <w:color w:val="396230"/>
                      <w:spacing w:val="-12"/>
                      <w:sz w:val="22"/>
                    </w:rPr>
                    <w:t> </w:t>
                  </w:r>
                  <w:r>
                    <w:rPr>
                      <w:rFonts w:ascii="Tahoma"/>
                      <w:sz w:val="22"/>
                    </w:rPr>
                    <w:t>Percent</w:t>
                  </w:r>
                  <w:r>
                    <w:rPr>
                      <w:rFonts w:ascii="Tahoma"/>
                      <w:spacing w:val="-17"/>
                      <w:sz w:val="22"/>
                    </w:rPr>
                    <w:t> </w:t>
                  </w:r>
                  <w:r>
                    <w:rPr>
                      <w:rFonts w:ascii="Tahoma"/>
                      <w:sz w:val="22"/>
                    </w:rPr>
                    <w:t>of</w:t>
                  </w:r>
                  <w:r>
                    <w:rPr>
                      <w:rFonts w:ascii="Tahoma"/>
                      <w:spacing w:val="-14"/>
                      <w:sz w:val="22"/>
                    </w:rPr>
                    <w:t> </w:t>
                  </w:r>
                  <w:r>
                    <w:rPr>
                      <w:rFonts w:ascii="Tahoma"/>
                      <w:sz w:val="22"/>
                    </w:rPr>
                    <w:t>households</w:t>
                  </w:r>
                  <w:r>
                    <w:rPr>
                      <w:rFonts w:ascii="Tahoma"/>
                      <w:spacing w:val="-18"/>
                      <w:sz w:val="22"/>
                    </w:rPr>
                    <w:t> </w:t>
                  </w:r>
                  <w:r>
                    <w:rPr>
                      <w:rFonts w:ascii="Tahoma"/>
                      <w:sz w:val="22"/>
                    </w:rPr>
                    <w:t>with</w:t>
                  </w:r>
                  <w:r>
                    <w:rPr>
                      <w:rFonts w:ascii="Tahoma"/>
                      <w:spacing w:val="-15"/>
                      <w:sz w:val="22"/>
                    </w:rPr>
                    <w:t> </w:t>
                  </w:r>
                  <w:r>
                    <w:rPr>
                      <w:rFonts w:ascii="Tahoma"/>
                      <w:sz w:val="22"/>
                    </w:rPr>
                    <w:t>annual</w:t>
                  </w:r>
                  <w:r>
                    <w:rPr>
                      <w:rFonts w:ascii="Tahoma"/>
                      <w:spacing w:val="-18"/>
                      <w:sz w:val="22"/>
                    </w:rPr>
                    <w:t> </w:t>
                  </w:r>
                  <w:r>
                    <w:rPr>
                      <w:rFonts w:ascii="Tahoma"/>
                      <w:sz w:val="22"/>
                    </w:rPr>
                    <w:t>income</w:t>
                  </w:r>
                  <w:r>
                    <w:rPr>
                      <w:rFonts w:ascii="Tahoma"/>
                      <w:spacing w:val="-15"/>
                      <w:sz w:val="22"/>
                    </w:rPr>
                    <w:t> </w:t>
                  </w:r>
                  <w:r>
                    <w:rPr>
                      <w:rFonts w:ascii="Tahoma"/>
                      <w:sz w:val="22"/>
                    </w:rPr>
                    <w:t>below</w:t>
                  </w:r>
                  <w:r>
                    <w:rPr>
                      <w:rFonts w:ascii="Tahoma"/>
                      <w:spacing w:val="-17"/>
                      <w:sz w:val="22"/>
                    </w:rPr>
                    <w:t> </w:t>
                  </w:r>
                  <w:r>
                    <w:rPr>
                      <w:rFonts w:ascii="Tahoma"/>
                      <w:sz w:val="22"/>
                    </w:rPr>
                    <w:t>$15,000.</w:t>
                  </w:r>
                </w:p>
                <w:p>
                  <w:pPr>
                    <w:numPr>
                      <w:ilvl w:val="0"/>
                      <w:numId w:val="1"/>
                    </w:numPr>
                    <w:tabs>
                      <w:tab w:pos="684" w:val="left" w:leader="none"/>
                      <w:tab w:pos="685" w:val="left" w:leader="none"/>
                    </w:tabs>
                    <w:spacing w:before="22"/>
                    <w:ind w:left="684" w:right="0" w:hanging="360"/>
                    <w:jc w:val="left"/>
                    <w:rPr>
                      <w:rFonts w:ascii="Tahoma" w:hAnsi="Tahoma"/>
                      <w:sz w:val="22"/>
                    </w:rPr>
                  </w:pPr>
                  <w:r>
                    <w:rPr>
                      <w:rFonts w:ascii="Trebuchet MS" w:hAnsi="Trebuchet MS"/>
                      <w:b/>
                      <w:color w:val="396230"/>
                      <w:sz w:val="22"/>
                    </w:rPr>
                    <w:t>35.5: </w:t>
                  </w:r>
                  <w:r>
                    <w:rPr>
                      <w:rFonts w:ascii="Tahoma" w:hAnsi="Tahoma"/>
                      <w:sz w:val="22"/>
                    </w:rPr>
                    <w:t>Loudoun County’s median</w:t>
                  </w:r>
                  <w:r>
                    <w:rPr>
                      <w:rFonts w:ascii="Tahoma" w:hAnsi="Tahoma"/>
                      <w:spacing w:val="-38"/>
                      <w:sz w:val="22"/>
                    </w:rPr>
                    <w:t> </w:t>
                  </w:r>
                  <w:r>
                    <w:rPr>
                      <w:rFonts w:ascii="Tahoma" w:hAnsi="Tahoma"/>
                      <w:sz w:val="22"/>
                    </w:rPr>
                    <w:t>age</w:t>
                  </w:r>
                </w:p>
                <w:p>
                  <w:pPr>
                    <w:numPr>
                      <w:ilvl w:val="0"/>
                      <w:numId w:val="1"/>
                    </w:numPr>
                    <w:tabs>
                      <w:tab w:pos="684" w:val="left" w:leader="none"/>
                      <w:tab w:pos="685" w:val="left" w:leader="none"/>
                    </w:tabs>
                    <w:spacing w:before="23"/>
                    <w:ind w:left="684" w:right="0" w:hanging="360"/>
                    <w:jc w:val="left"/>
                    <w:rPr>
                      <w:rFonts w:ascii="Tahoma"/>
                      <w:sz w:val="22"/>
                    </w:rPr>
                  </w:pPr>
                  <w:r>
                    <w:rPr>
                      <w:rFonts w:ascii="Trebuchet MS"/>
                      <w:b/>
                      <w:color w:val="396230"/>
                      <w:sz w:val="22"/>
                    </w:rPr>
                    <w:t>29:</w:t>
                  </w:r>
                  <w:r>
                    <w:rPr>
                      <w:rFonts w:ascii="Trebuchet MS"/>
                      <w:b/>
                      <w:color w:val="396230"/>
                      <w:spacing w:val="-12"/>
                      <w:sz w:val="22"/>
                    </w:rPr>
                    <w:t> </w:t>
                  </w:r>
                  <w:r>
                    <w:rPr>
                      <w:rFonts w:ascii="Tahoma"/>
                      <w:sz w:val="22"/>
                    </w:rPr>
                    <w:t>Percent</w:t>
                  </w:r>
                  <w:r>
                    <w:rPr>
                      <w:rFonts w:ascii="Tahoma"/>
                      <w:spacing w:val="-14"/>
                      <w:sz w:val="22"/>
                    </w:rPr>
                    <w:t> </w:t>
                  </w:r>
                  <w:r>
                    <w:rPr>
                      <w:rFonts w:ascii="Tahoma"/>
                      <w:sz w:val="22"/>
                    </w:rPr>
                    <w:t>of</w:t>
                  </w:r>
                  <w:r>
                    <w:rPr>
                      <w:rFonts w:ascii="Tahoma"/>
                      <w:spacing w:val="-14"/>
                      <w:sz w:val="22"/>
                    </w:rPr>
                    <w:t> </w:t>
                  </w:r>
                  <w:r>
                    <w:rPr>
                      <w:rFonts w:ascii="Tahoma"/>
                      <w:sz w:val="22"/>
                    </w:rPr>
                    <w:t>population</w:t>
                  </w:r>
                  <w:r>
                    <w:rPr>
                      <w:rFonts w:ascii="Tahoma"/>
                      <w:spacing w:val="-16"/>
                      <w:sz w:val="22"/>
                    </w:rPr>
                    <w:t> </w:t>
                  </w:r>
                  <w:r>
                    <w:rPr>
                      <w:rFonts w:ascii="Tahoma"/>
                      <w:sz w:val="22"/>
                    </w:rPr>
                    <w:t>under</w:t>
                  </w:r>
                  <w:r>
                    <w:rPr>
                      <w:rFonts w:ascii="Tahoma"/>
                      <w:spacing w:val="-13"/>
                      <w:sz w:val="22"/>
                    </w:rPr>
                    <w:t> </w:t>
                  </w:r>
                  <w:r>
                    <w:rPr>
                      <w:rFonts w:ascii="Tahoma"/>
                      <w:sz w:val="22"/>
                    </w:rPr>
                    <w:t>18</w:t>
                  </w:r>
                  <w:r>
                    <w:rPr>
                      <w:rFonts w:ascii="Tahoma"/>
                      <w:spacing w:val="-14"/>
                      <w:sz w:val="22"/>
                    </w:rPr>
                    <w:t> </w:t>
                  </w:r>
                  <w:r>
                    <w:rPr>
                      <w:rFonts w:ascii="Tahoma"/>
                      <w:sz w:val="22"/>
                    </w:rPr>
                    <w:t>years</w:t>
                  </w:r>
                  <w:r>
                    <w:rPr>
                      <w:rFonts w:ascii="Tahoma"/>
                      <w:spacing w:val="-10"/>
                      <w:sz w:val="22"/>
                    </w:rPr>
                    <w:t> </w:t>
                  </w:r>
                  <w:r>
                    <w:rPr>
                      <w:rFonts w:ascii="Tahoma"/>
                      <w:sz w:val="22"/>
                    </w:rPr>
                    <w:t>of</w:t>
                  </w:r>
                  <w:r>
                    <w:rPr>
                      <w:rFonts w:ascii="Tahoma"/>
                      <w:spacing w:val="-14"/>
                      <w:sz w:val="22"/>
                    </w:rPr>
                    <w:t> </w:t>
                  </w:r>
                  <w:r>
                    <w:rPr>
                      <w:rFonts w:ascii="Tahoma"/>
                      <w:sz w:val="22"/>
                    </w:rPr>
                    <w:t>age.</w:t>
                  </w:r>
                </w:p>
                <w:p>
                  <w:pPr>
                    <w:numPr>
                      <w:ilvl w:val="0"/>
                      <w:numId w:val="1"/>
                    </w:numPr>
                    <w:tabs>
                      <w:tab w:pos="684" w:val="left" w:leader="none"/>
                      <w:tab w:pos="685" w:val="left" w:leader="none"/>
                    </w:tabs>
                    <w:spacing w:before="21"/>
                    <w:ind w:left="684" w:right="0" w:hanging="360"/>
                    <w:jc w:val="left"/>
                    <w:rPr>
                      <w:rFonts w:ascii="Tahoma"/>
                      <w:sz w:val="22"/>
                    </w:rPr>
                  </w:pPr>
                  <w:r>
                    <w:rPr>
                      <w:rFonts w:ascii="Trebuchet MS"/>
                      <w:b/>
                      <w:color w:val="396230"/>
                      <w:sz w:val="22"/>
                    </w:rPr>
                    <w:t>8:</w:t>
                  </w:r>
                  <w:r>
                    <w:rPr>
                      <w:rFonts w:ascii="Trebuchet MS"/>
                      <w:b/>
                      <w:color w:val="396230"/>
                      <w:spacing w:val="-8"/>
                      <w:sz w:val="22"/>
                    </w:rPr>
                    <w:t> </w:t>
                  </w:r>
                  <w:r>
                    <w:rPr>
                      <w:rFonts w:ascii="Tahoma"/>
                      <w:sz w:val="22"/>
                    </w:rPr>
                    <w:t>Percent</w:t>
                  </w:r>
                  <w:r>
                    <w:rPr>
                      <w:rFonts w:ascii="Tahoma"/>
                      <w:spacing w:val="-12"/>
                      <w:sz w:val="22"/>
                    </w:rPr>
                    <w:t> </w:t>
                  </w:r>
                  <w:r>
                    <w:rPr>
                      <w:rFonts w:ascii="Tahoma"/>
                      <w:sz w:val="22"/>
                    </w:rPr>
                    <w:t>of</w:t>
                  </w:r>
                  <w:r>
                    <w:rPr>
                      <w:rFonts w:ascii="Tahoma"/>
                      <w:spacing w:val="-10"/>
                      <w:sz w:val="22"/>
                    </w:rPr>
                    <w:t> </w:t>
                  </w:r>
                  <w:r>
                    <w:rPr>
                      <w:rFonts w:ascii="Tahoma"/>
                      <w:sz w:val="22"/>
                    </w:rPr>
                    <w:t>population</w:t>
                  </w:r>
                  <w:r>
                    <w:rPr>
                      <w:rFonts w:ascii="Tahoma"/>
                      <w:spacing w:val="-12"/>
                      <w:sz w:val="22"/>
                    </w:rPr>
                    <w:t> </w:t>
                  </w:r>
                  <w:r>
                    <w:rPr>
                      <w:rFonts w:ascii="Tahoma"/>
                      <w:sz w:val="22"/>
                    </w:rPr>
                    <w:t>65</w:t>
                  </w:r>
                  <w:r>
                    <w:rPr>
                      <w:rFonts w:ascii="Tahoma"/>
                      <w:spacing w:val="-11"/>
                      <w:sz w:val="22"/>
                    </w:rPr>
                    <w:t> </w:t>
                  </w:r>
                  <w:r>
                    <w:rPr>
                      <w:rFonts w:ascii="Tahoma"/>
                      <w:sz w:val="22"/>
                    </w:rPr>
                    <w:t>years</w:t>
                  </w:r>
                  <w:r>
                    <w:rPr>
                      <w:rFonts w:ascii="Tahoma"/>
                      <w:spacing w:val="-12"/>
                      <w:sz w:val="22"/>
                    </w:rPr>
                    <w:t> </w:t>
                  </w:r>
                  <w:r>
                    <w:rPr>
                      <w:rFonts w:ascii="Tahoma"/>
                      <w:sz w:val="22"/>
                    </w:rPr>
                    <w:t>and</w:t>
                  </w:r>
                  <w:r>
                    <w:rPr>
                      <w:rFonts w:ascii="Tahoma"/>
                      <w:spacing w:val="-13"/>
                      <w:sz w:val="22"/>
                    </w:rPr>
                    <w:t> </w:t>
                  </w:r>
                  <w:r>
                    <w:rPr>
                      <w:rFonts w:ascii="Tahoma"/>
                      <w:sz w:val="22"/>
                    </w:rPr>
                    <w:t>older.</w:t>
                  </w:r>
                </w:p>
                <w:p>
                  <w:pPr>
                    <w:numPr>
                      <w:ilvl w:val="0"/>
                      <w:numId w:val="1"/>
                    </w:numPr>
                    <w:tabs>
                      <w:tab w:pos="684" w:val="left" w:leader="none"/>
                      <w:tab w:pos="685" w:val="left" w:leader="none"/>
                    </w:tabs>
                    <w:spacing w:before="22"/>
                    <w:ind w:left="684" w:right="0" w:hanging="360"/>
                    <w:jc w:val="left"/>
                    <w:rPr>
                      <w:rFonts w:ascii="Tahoma"/>
                      <w:sz w:val="22"/>
                    </w:rPr>
                  </w:pPr>
                  <w:r>
                    <w:rPr>
                      <w:rFonts w:ascii="Trebuchet MS"/>
                      <w:b/>
                      <w:color w:val="396230"/>
                      <w:sz w:val="22"/>
                    </w:rPr>
                    <w:t>31:</w:t>
                  </w:r>
                  <w:r>
                    <w:rPr>
                      <w:rFonts w:ascii="Trebuchet MS"/>
                      <w:b/>
                      <w:color w:val="396230"/>
                      <w:spacing w:val="-23"/>
                      <w:sz w:val="22"/>
                    </w:rPr>
                    <w:t> </w:t>
                  </w:r>
                  <w:r>
                    <w:rPr>
                      <w:rFonts w:ascii="Tahoma"/>
                      <w:sz w:val="22"/>
                    </w:rPr>
                    <w:t>Percent</w:t>
                  </w:r>
                  <w:r>
                    <w:rPr>
                      <w:rFonts w:ascii="Tahoma"/>
                      <w:spacing w:val="-25"/>
                      <w:sz w:val="22"/>
                    </w:rPr>
                    <w:t> </w:t>
                  </w:r>
                  <w:r>
                    <w:rPr>
                      <w:rFonts w:ascii="Tahoma"/>
                      <w:sz w:val="22"/>
                    </w:rPr>
                    <w:t>of</w:t>
                  </w:r>
                  <w:r>
                    <w:rPr>
                      <w:rFonts w:ascii="Tahoma"/>
                      <w:spacing w:val="-25"/>
                      <w:sz w:val="22"/>
                    </w:rPr>
                    <w:t> </w:t>
                  </w:r>
                  <w:r>
                    <w:rPr>
                      <w:rFonts w:ascii="Tahoma"/>
                      <w:sz w:val="22"/>
                    </w:rPr>
                    <w:t>population</w:t>
                  </w:r>
                  <w:r>
                    <w:rPr>
                      <w:rFonts w:ascii="Tahoma"/>
                      <w:spacing w:val="-25"/>
                      <w:sz w:val="22"/>
                    </w:rPr>
                    <w:t> </w:t>
                  </w:r>
                  <w:r>
                    <w:rPr>
                      <w:rFonts w:ascii="Tahoma"/>
                      <w:sz w:val="22"/>
                    </w:rPr>
                    <w:t>that</w:t>
                  </w:r>
                  <w:r>
                    <w:rPr>
                      <w:rFonts w:ascii="Tahoma"/>
                      <w:spacing w:val="-23"/>
                      <w:sz w:val="22"/>
                    </w:rPr>
                    <w:t> </w:t>
                  </w:r>
                  <w:r>
                    <w:rPr>
                      <w:rFonts w:ascii="Tahoma"/>
                      <w:sz w:val="22"/>
                    </w:rPr>
                    <w:t>speaks</w:t>
                  </w:r>
                  <w:r>
                    <w:rPr>
                      <w:rFonts w:ascii="Tahoma"/>
                      <w:spacing w:val="-24"/>
                      <w:sz w:val="22"/>
                    </w:rPr>
                    <w:t> </w:t>
                  </w:r>
                  <w:r>
                    <w:rPr>
                      <w:rFonts w:ascii="Tahoma"/>
                      <w:sz w:val="22"/>
                    </w:rPr>
                    <w:t>a</w:t>
                  </w:r>
                  <w:r>
                    <w:rPr>
                      <w:rFonts w:ascii="Tahoma"/>
                      <w:spacing w:val="-26"/>
                      <w:sz w:val="22"/>
                    </w:rPr>
                    <w:t> </w:t>
                  </w:r>
                  <w:r>
                    <w:rPr>
                      <w:rFonts w:ascii="Tahoma"/>
                      <w:sz w:val="22"/>
                    </w:rPr>
                    <w:t>language</w:t>
                  </w:r>
                  <w:r>
                    <w:rPr>
                      <w:rFonts w:ascii="Tahoma"/>
                      <w:spacing w:val="-24"/>
                      <w:sz w:val="22"/>
                    </w:rPr>
                    <w:t> </w:t>
                  </w:r>
                  <w:r>
                    <w:rPr>
                      <w:rFonts w:ascii="Tahoma"/>
                      <w:sz w:val="22"/>
                    </w:rPr>
                    <w:t>other</w:t>
                  </w:r>
                  <w:r>
                    <w:rPr>
                      <w:rFonts w:ascii="Tahoma"/>
                      <w:spacing w:val="-27"/>
                      <w:sz w:val="22"/>
                    </w:rPr>
                    <w:t> </w:t>
                  </w:r>
                  <w:r>
                    <w:rPr>
                      <w:rFonts w:ascii="Tahoma"/>
                      <w:sz w:val="22"/>
                    </w:rPr>
                    <w:t>than</w:t>
                  </w:r>
                  <w:r>
                    <w:rPr>
                      <w:rFonts w:ascii="Tahoma"/>
                      <w:spacing w:val="-25"/>
                      <w:sz w:val="22"/>
                    </w:rPr>
                    <w:t> </w:t>
                  </w:r>
                  <w:r>
                    <w:rPr>
                      <w:rFonts w:ascii="Tahoma"/>
                      <w:sz w:val="22"/>
                    </w:rPr>
                    <w:t>English</w:t>
                  </w:r>
                  <w:r>
                    <w:rPr>
                      <w:rFonts w:ascii="Tahoma"/>
                      <w:spacing w:val="-24"/>
                      <w:sz w:val="22"/>
                    </w:rPr>
                    <w:t> </w:t>
                  </w:r>
                  <w:r>
                    <w:rPr>
                      <w:rFonts w:ascii="Tahoma"/>
                      <w:sz w:val="22"/>
                    </w:rPr>
                    <w:t>at</w:t>
                  </w:r>
                  <w:r>
                    <w:rPr>
                      <w:rFonts w:ascii="Tahoma"/>
                      <w:spacing w:val="-23"/>
                      <w:sz w:val="22"/>
                    </w:rPr>
                    <w:t> </w:t>
                  </w:r>
                  <w:r>
                    <w:rPr>
                      <w:rFonts w:ascii="Tahoma"/>
                      <w:sz w:val="22"/>
                    </w:rPr>
                    <w:t>home.</w:t>
                  </w:r>
                </w:p>
                <w:p>
                  <w:pPr>
                    <w:numPr>
                      <w:ilvl w:val="0"/>
                      <w:numId w:val="1"/>
                    </w:numPr>
                    <w:tabs>
                      <w:tab w:pos="684" w:val="left" w:leader="none"/>
                      <w:tab w:pos="685" w:val="left" w:leader="none"/>
                    </w:tabs>
                    <w:spacing w:before="23"/>
                    <w:ind w:left="684" w:right="0" w:hanging="360"/>
                    <w:jc w:val="left"/>
                    <w:rPr>
                      <w:rFonts w:ascii="Tahoma"/>
                      <w:sz w:val="22"/>
                    </w:rPr>
                  </w:pPr>
                  <w:r>
                    <w:rPr>
                      <w:rFonts w:ascii="Trebuchet MS"/>
                      <w:b/>
                      <w:color w:val="396230"/>
                      <w:sz w:val="22"/>
                    </w:rPr>
                    <w:t>93:</w:t>
                  </w:r>
                  <w:r>
                    <w:rPr>
                      <w:rFonts w:ascii="Trebuchet MS"/>
                      <w:b/>
                      <w:color w:val="396230"/>
                      <w:spacing w:val="-19"/>
                      <w:sz w:val="22"/>
                    </w:rPr>
                    <w:t> </w:t>
                  </w:r>
                  <w:r>
                    <w:rPr>
                      <w:rFonts w:ascii="Tahoma"/>
                      <w:sz w:val="22"/>
                    </w:rPr>
                    <w:t>Percent</w:t>
                  </w:r>
                  <w:r>
                    <w:rPr>
                      <w:rFonts w:ascii="Tahoma"/>
                      <w:spacing w:val="-21"/>
                      <w:sz w:val="22"/>
                    </w:rPr>
                    <w:t> </w:t>
                  </w:r>
                  <w:r>
                    <w:rPr>
                      <w:rFonts w:ascii="Tahoma"/>
                      <w:sz w:val="22"/>
                    </w:rPr>
                    <w:t>of</w:t>
                  </w:r>
                  <w:r>
                    <w:rPr>
                      <w:rFonts w:ascii="Tahoma"/>
                      <w:spacing w:val="-21"/>
                      <w:sz w:val="22"/>
                    </w:rPr>
                    <w:t> </w:t>
                  </w:r>
                  <w:r>
                    <w:rPr>
                      <w:rFonts w:ascii="Tahoma"/>
                      <w:sz w:val="22"/>
                    </w:rPr>
                    <w:t>population</w:t>
                  </w:r>
                  <w:r>
                    <w:rPr>
                      <w:rFonts w:ascii="Tahoma"/>
                      <w:spacing w:val="-22"/>
                      <w:sz w:val="22"/>
                    </w:rPr>
                    <w:t> </w:t>
                  </w:r>
                  <w:r>
                    <w:rPr>
                      <w:rFonts w:ascii="Tahoma"/>
                      <w:sz w:val="22"/>
                    </w:rPr>
                    <w:t>25</w:t>
                  </w:r>
                  <w:r>
                    <w:rPr>
                      <w:rFonts w:ascii="Tahoma"/>
                      <w:spacing w:val="-19"/>
                      <w:sz w:val="22"/>
                    </w:rPr>
                    <w:t> </w:t>
                  </w:r>
                  <w:r>
                    <w:rPr>
                      <w:rFonts w:ascii="Tahoma"/>
                      <w:sz w:val="22"/>
                    </w:rPr>
                    <w:t>years</w:t>
                  </w:r>
                  <w:r>
                    <w:rPr>
                      <w:rFonts w:ascii="Tahoma"/>
                      <w:spacing w:val="-20"/>
                      <w:sz w:val="22"/>
                    </w:rPr>
                    <w:t> </w:t>
                  </w:r>
                  <w:r>
                    <w:rPr>
                      <w:rFonts w:ascii="Tahoma"/>
                      <w:sz w:val="22"/>
                    </w:rPr>
                    <w:t>and</w:t>
                  </w:r>
                  <w:r>
                    <w:rPr>
                      <w:rFonts w:ascii="Tahoma"/>
                      <w:spacing w:val="-21"/>
                      <w:sz w:val="22"/>
                    </w:rPr>
                    <w:t> </w:t>
                  </w:r>
                  <w:r>
                    <w:rPr>
                      <w:rFonts w:ascii="Tahoma"/>
                      <w:sz w:val="22"/>
                    </w:rPr>
                    <w:t>over</w:t>
                  </w:r>
                  <w:r>
                    <w:rPr>
                      <w:rFonts w:ascii="Tahoma"/>
                      <w:spacing w:val="-20"/>
                      <w:sz w:val="22"/>
                    </w:rPr>
                    <w:t> </w:t>
                  </w:r>
                  <w:r>
                    <w:rPr>
                      <w:rFonts w:ascii="Tahoma"/>
                      <w:sz w:val="22"/>
                    </w:rPr>
                    <w:t>graduated</w:t>
                  </w:r>
                  <w:r>
                    <w:rPr>
                      <w:rFonts w:ascii="Tahoma"/>
                      <w:spacing w:val="-19"/>
                      <w:sz w:val="22"/>
                    </w:rPr>
                    <w:t> </w:t>
                  </w:r>
                  <w:r>
                    <w:rPr>
                      <w:rFonts w:ascii="Tahoma"/>
                      <w:sz w:val="22"/>
                    </w:rPr>
                    <w:t>from</w:t>
                  </w:r>
                  <w:r>
                    <w:rPr>
                      <w:rFonts w:ascii="Tahoma"/>
                      <w:spacing w:val="-21"/>
                      <w:sz w:val="22"/>
                    </w:rPr>
                    <w:t> </w:t>
                  </w:r>
                  <w:r>
                    <w:rPr>
                      <w:rFonts w:ascii="Tahoma"/>
                      <w:sz w:val="22"/>
                    </w:rPr>
                    <w:t>high</w:t>
                  </w:r>
                  <w:r>
                    <w:rPr>
                      <w:rFonts w:ascii="Tahoma"/>
                      <w:spacing w:val="-19"/>
                      <w:sz w:val="22"/>
                    </w:rPr>
                    <w:t> </w:t>
                  </w:r>
                  <w:r>
                    <w:rPr>
                      <w:rFonts w:ascii="Tahoma"/>
                      <w:sz w:val="22"/>
                    </w:rPr>
                    <w:t>school.</w:t>
                  </w:r>
                </w:p>
                <w:p>
                  <w:pPr>
                    <w:numPr>
                      <w:ilvl w:val="0"/>
                      <w:numId w:val="1"/>
                    </w:numPr>
                    <w:tabs>
                      <w:tab w:pos="684" w:val="left" w:leader="none"/>
                      <w:tab w:pos="685" w:val="left" w:leader="none"/>
                    </w:tabs>
                    <w:spacing w:before="20"/>
                    <w:ind w:left="684" w:right="0" w:hanging="360"/>
                    <w:jc w:val="left"/>
                    <w:rPr>
                      <w:rFonts w:ascii="Tahoma"/>
                      <w:sz w:val="22"/>
                    </w:rPr>
                  </w:pPr>
                  <w:r>
                    <w:rPr>
                      <w:rFonts w:ascii="Trebuchet MS"/>
                      <w:b/>
                      <w:color w:val="396230"/>
                      <w:sz w:val="22"/>
                    </w:rPr>
                    <w:t>59:</w:t>
                  </w:r>
                  <w:r>
                    <w:rPr>
                      <w:rFonts w:ascii="Trebuchet MS"/>
                      <w:b/>
                      <w:color w:val="396230"/>
                      <w:spacing w:val="-14"/>
                      <w:sz w:val="22"/>
                    </w:rPr>
                    <w:t> </w:t>
                  </w:r>
                  <w:r>
                    <w:rPr>
                      <w:rFonts w:ascii="Tahoma"/>
                      <w:sz w:val="22"/>
                    </w:rPr>
                    <w:t>Percent</w:t>
                  </w:r>
                  <w:r>
                    <w:rPr>
                      <w:rFonts w:ascii="Tahoma"/>
                      <w:spacing w:val="-16"/>
                      <w:sz w:val="22"/>
                    </w:rPr>
                    <w:t> </w:t>
                  </w:r>
                  <w:r>
                    <w:rPr>
                      <w:rFonts w:ascii="Tahoma"/>
                      <w:sz w:val="22"/>
                    </w:rPr>
                    <w:t>of</w:t>
                  </w:r>
                  <w:r>
                    <w:rPr>
                      <w:rFonts w:ascii="Tahoma"/>
                      <w:spacing w:val="-16"/>
                      <w:sz w:val="22"/>
                    </w:rPr>
                    <w:t> </w:t>
                  </w:r>
                  <w:r>
                    <w:rPr>
                      <w:rFonts w:ascii="Tahoma"/>
                      <w:sz w:val="22"/>
                    </w:rPr>
                    <w:t>population</w:t>
                  </w:r>
                  <w:r>
                    <w:rPr>
                      <w:rFonts w:ascii="Tahoma"/>
                      <w:spacing w:val="-17"/>
                      <w:sz w:val="22"/>
                    </w:rPr>
                    <w:t> </w:t>
                  </w:r>
                  <w:r>
                    <w:rPr>
                      <w:rFonts w:ascii="Tahoma"/>
                      <w:sz w:val="22"/>
                    </w:rPr>
                    <w:t>with</w:t>
                  </w:r>
                  <w:r>
                    <w:rPr>
                      <w:rFonts w:ascii="Tahoma"/>
                      <w:spacing w:val="-14"/>
                      <w:sz w:val="22"/>
                    </w:rPr>
                    <w:t> </w:t>
                  </w:r>
                  <w:r>
                    <w:rPr>
                      <w:rFonts w:ascii="Tahoma"/>
                      <w:sz w:val="22"/>
                    </w:rPr>
                    <w:t>a</w:t>
                  </w:r>
                  <w:r>
                    <w:rPr>
                      <w:rFonts w:ascii="Tahoma"/>
                      <w:spacing w:val="-17"/>
                      <w:sz w:val="22"/>
                    </w:rPr>
                    <w:t> </w:t>
                  </w:r>
                  <w:r>
                    <w:rPr>
                      <w:rFonts w:ascii="Tahoma"/>
                      <w:sz w:val="22"/>
                    </w:rPr>
                    <w:t>bachelor's</w:t>
                  </w:r>
                  <w:r>
                    <w:rPr>
                      <w:rFonts w:ascii="Tahoma"/>
                      <w:spacing w:val="-15"/>
                      <w:sz w:val="22"/>
                    </w:rPr>
                    <w:t> </w:t>
                  </w:r>
                  <w:r>
                    <w:rPr>
                      <w:rFonts w:ascii="Tahoma"/>
                      <w:sz w:val="22"/>
                    </w:rPr>
                    <w:t>degree</w:t>
                  </w:r>
                  <w:r>
                    <w:rPr>
                      <w:rFonts w:ascii="Tahoma"/>
                      <w:spacing w:val="-17"/>
                      <w:sz w:val="22"/>
                    </w:rPr>
                    <w:t> </w:t>
                  </w:r>
                  <w:r>
                    <w:rPr>
                      <w:rFonts w:ascii="Tahoma"/>
                      <w:sz w:val="22"/>
                    </w:rPr>
                    <w:t>or</w:t>
                  </w:r>
                  <w:r>
                    <w:rPr>
                      <w:rFonts w:ascii="Tahoma"/>
                      <w:spacing w:val="-15"/>
                      <w:sz w:val="22"/>
                    </w:rPr>
                    <w:t> </w:t>
                  </w:r>
                  <w:r>
                    <w:rPr>
                      <w:rFonts w:ascii="Tahoma"/>
                      <w:sz w:val="22"/>
                    </w:rPr>
                    <w:t>higher.</w:t>
                  </w:r>
                </w:p>
                <w:p>
                  <w:pPr>
                    <w:numPr>
                      <w:ilvl w:val="0"/>
                      <w:numId w:val="1"/>
                    </w:numPr>
                    <w:tabs>
                      <w:tab w:pos="684" w:val="left" w:leader="none"/>
                      <w:tab w:pos="685" w:val="left" w:leader="none"/>
                    </w:tabs>
                    <w:spacing w:before="23"/>
                    <w:ind w:left="684" w:right="0" w:hanging="360"/>
                    <w:jc w:val="left"/>
                    <w:rPr>
                      <w:rFonts w:ascii="Tahoma"/>
                      <w:sz w:val="22"/>
                    </w:rPr>
                  </w:pPr>
                  <w:r>
                    <w:rPr>
                      <w:rFonts w:ascii="Trebuchet MS"/>
                      <w:b/>
                      <w:color w:val="396230"/>
                      <w:sz w:val="22"/>
                    </w:rPr>
                    <w:t>34:</w:t>
                  </w:r>
                  <w:r>
                    <w:rPr>
                      <w:rFonts w:ascii="Trebuchet MS"/>
                      <w:b/>
                      <w:color w:val="396230"/>
                      <w:spacing w:val="-15"/>
                      <w:sz w:val="22"/>
                    </w:rPr>
                    <w:t> </w:t>
                  </w:r>
                  <w:r>
                    <w:rPr>
                      <w:rFonts w:ascii="Tahoma"/>
                      <w:sz w:val="22"/>
                    </w:rPr>
                    <w:t>Average</w:t>
                  </w:r>
                  <w:r>
                    <w:rPr>
                      <w:rFonts w:ascii="Tahoma"/>
                      <w:spacing w:val="-15"/>
                      <w:sz w:val="22"/>
                    </w:rPr>
                    <w:t> </w:t>
                  </w:r>
                  <w:r>
                    <w:rPr>
                      <w:rFonts w:ascii="Tahoma"/>
                      <w:sz w:val="22"/>
                    </w:rPr>
                    <w:t>number</w:t>
                  </w:r>
                  <w:r>
                    <w:rPr>
                      <w:rFonts w:ascii="Tahoma"/>
                      <w:spacing w:val="-19"/>
                      <w:sz w:val="22"/>
                    </w:rPr>
                    <w:t> </w:t>
                  </w:r>
                  <w:r>
                    <w:rPr>
                      <w:rFonts w:ascii="Tahoma"/>
                      <w:sz w:val="22"/>
                    </w:rPr>
                    <w:t>of</w:t>
                  </w:r>
                  <w:r>
                    <w:rPr>
                      <w:rFonts w:ascii="Tahoma"/>
                      <w:spacing w:val="-17"/>
                      <w:sz w:val="22"/>
                    </w:rPr>
                    <w:t> </w:t>
                  </w:r>
                  <w:r>
                    <w:rPr>
                      <w:rFonts w:ascii="Tahoma"/>
                      <w:sz w:val="22"/>
                    </w:rPr>
                    <w:t>minutes</w:t>
                  </w:r>
                  <w:r>
                    <w:rPr>
                      <w:rFonts w:ascii="Tahoma"/>
                      <w:spacing w:val="-16"/>
                      <w:sz w:val="22"/>
                    </w:rPr>
                    <w:t> </w:t>
                  </w:r>
                  <w:r>
                    <w:rPr>
                      <w:rFonts w:ascii="Tahoma"/>
                      <w:sz w:val="22"/>
                    </w:rPr>
                    <w:t>it</w:t>
                  </w:r>
                  <w:r>
                    <w:rPr>
                      <w:rFonts w:ascii="Tahoma"/>
                      <w:spacing w:val="-17"/>
                      <w:sz w:val="22"/>
                    </w:rPr>
                    <w:t> </w:t>
                  </w:r>
                  <w:r>
                    <w:rPr>
                      <w:rFonts w:ascii="Tahoma"/>
                      <w:sz w:val="22"/>
                    </w:rPr>
                    <w:t>takes</w:t>
                  </w:r>
                  <w:r>
                    <w:rPr>
                      <w:rFonts w:ascii="Tahoma"/>
                      <w:spacing w:val="-16"/>
                      <w:sz w:val="22"/>
                    </w:rPr>
                    <w:t> </w:t>
                  </w:r>
                  <w:r>
                    <w:rPr>
                      <w:rFonts w:ascii="Tahoma"/>
                      <w:sz w:val="22"/>
                    </w:rPr>
                    <w:t>commuters</w:t>
                  </w:r>
                  <w:r>
                    <w:rPr>
                      <w:rFonts w:ascii="Tahoma"/>
                      <w:spacing w:val="-16"/>
                      <w:sz w:val="22"/>
                    </w:rPr>
                    <w:t> </w:t>
                  </w:r>
                  <w:r>
                    <w:rPr>
                      <w:rFonts w:ascii="Tahoma"/>
                      <w:sz w:val="22"/>
                    </w:rPr>
                    <w:t>to</w:t>
                  </w:r>
                  <w:r>
                    <w:rPr>
                      <w:rFonts w:ascii="Tahoma"/>
                      <w:spacing w:val="-14"/>
                      <w:sz w:val="22"/>
                    </w:rPr>
                    <w:t> </w:t>
                  </w:r>
                  <w:r>
                    <w:rPr>
                      <w:rFonts w:ascii="Tahoma"/>
                      <w:sz w:val="22"/>
                    </w:rPr>
                    <w:t>get</w:t>
                  </w:r>
                  <w:r>
                    <w:rPr>
                      <w:rFonts w:ascii="Tahoma"/>
                      <w:spacing w:val="-17"/>
                      <w:sz w:val="22"/>
                    </w:rPr>
                    <w:t> </w:t>
                  </w:r>
                  <w:r>
                    <w:rPr>
                      <w:rFonts w:ascii="Tahoma"/>
                      <w:sz w:val="22"/>
                    </w:rPr>
                    <w:t>to</w:t>
                  </w:r>
                  <w:r>
                    <w:rPr>
                      <w:rFonts w:ascii="Tahoma"/>
                      <w:spacing w:val="-14"/>
                      <w:sz w:val="22"/>
                    </w:rPr>
                    <w:t> </w:t>
                  </w:r>
                  <w:r>
                    <w:rPr>
                      <w:rFonts w:ascii="Tahoma"/>
                      <w:sz w:val="22"/>
                    </w:rPr>
                    <w:t>work.</w:t>
                  </w:r>
                </w:p>
                <w:p>
                  <w:pPr>
                    <w:spacing w:before="217"/>
                    <w:ind w:left="864" w:right="0" w:firstLine="0"/>
                    <w:jc w:val="left"/>
                    <w:rPr>
                      <w:rFonts w:ascii="Calibri"/>
                      <w:i/>
                      <w:sz w:val="20"/>
                    </w:rPr>
                  </w:pPr>
                  <w:r>
                    <w:rPr>
                      <w:rFonts w:ascii="Calibri"/>
                      <w:i/>
                      <w:sz w:val="20"/>
                    </w:rPr>
                    <w:t>Source: U.S. Census, 2012-2016 American Community Survey 5-Year Estimates</w:t>
                  </w:r>
                </w:p>
              </w:txbxContent>
            </v:textbox>
            <v:fill type="solid"/>
            <v:stroke dashstyle="solid"/>
            <w10:wrap type="topAndBottom"/>
          </v:shape>
        </w:pict>
      </w:r>
    </w:p>
    <w:p>
      <w:pPr>
        <w:pStyle w:val="Heading2"/>
        <w:spacing w:before="103"/>
      </w:pPr>
      <w:r>
        <w:rPr>
          <w:color w:val="396230"/>
        </w:rPr>
        <w:t>People</w:t>
      </w:r>
    </w:p>
    <w:p>
      <w:pPr>
        <w:pStyle w:val="BodyText"/>
        <w:spacing w:line="256" w:lineRule="auto" w:before="52"/>
        <w:ind w:left="840" w:right="837"/>
        <w:jc w:val="both"/>
        <w:rPr>
          <w:sz w:val="16"/>
        </w:rPr>
      </w:pPr>
      <w:r>
        <w:rPr/>
        <w:t>Loudoun County’s population has risen over the decades as the Washington, D.C. Metropolitan Area has grown and as Loudoun County has captured more of this regional growth. In 1940, the County’s</w:t>
      </w:r>
      <w:r>
        <w:rPr>
          <w:spacing w:val="-10"/>
        </w:rPr>
        <w:t> </w:t>
      </w:r>
      <w:r>
        <w:rPr/>
        <w:t>population</w:t>
      </w:r>
      <w:r>
        <w:rPr>
          <w:spacing w:val="-9"/>
        </w:rPr>
        <w:t> </w:t>
      </w:r>
      <w:r>
        <w:rPr/>
        <w:t>was</w:t>
      </w:r>
      <w:r>
        <w:rPr>
          <w:spacing w:val="-7"/>
        </w:rPr>
        <w:t> </w:t>
      </w:r>
      <w:r>
        <w:rPr/>
        <w:t>just</w:t>
      </w:r>
      <w:r>
        <w:rPr>
          <w:spacing w:val="-9"/>
        </w:rPr>
        <w:t> </w:t>
      </w:r>
      <w:r>
        <w:rPr/>
        <w:t>over</w:t>
      </w:r>
      <w:r>
        <w:rPr>
          <w:spacing w:val="-10"/>
        </w:rPr>
        <w:t> </w:t>
      </w:r>
      <w:r>
        <w:rPr/>
        <w:t>20,000</w:t>
      </w:r>
      <w:r>
        <w:rPr>
          <w:spacing w:val="-10"/>
        </w:rPr>
        <w:t> </w:t>
      </w:r>
      <w:r>
        <w:rPr/>
        <w:t>people.</w:t>
      </w:r>
      <w:r>
        <w:rPr>
          <w:spacing w:val="-10"/>
        </w:rPr>
        <w:t> </w:t>
      </w:r>
      <w:r>
        <w:rPr/>
        <w:t>Fifty</w:t>
      </w:r>
      <w:r>
        <w:rPr>
          <w:spacing w:val="-10"/>
        </w:rPr>
        <w:t> </w:t>
      </w:r>
      <w:r>
        <w:rPr/>
        <w:t>years</w:t>
      </w:r>
      <w:r>
        <w:rPr>
          <w:spacing w:val="-10"/>
        </w:rPr>
        <w:t> </w:t>
      </w:r>
      <w:r>
        <w:rPr/>
        <w:t>later,</w:t>
      </w:r>
      <w:r>
        <w:rPr>
          <w:spacing w:val="-10"/>
        </w:rPr>
        <w:t> </w:t>
      </w:r>
      <w:r>
        <w:rPr/>
        <w:t>the</w:t>
      </w:r>
      <w:r>
        <w:rPr>
          <w:spacing w:val="-10"/>
        </w:rPr>
        <w:t> </w:t>
      </w:r>
      <w:r>
        <w:rPr/>
        <w:t>population</w:t>
      </w:r>
      <w:r>
        <w:rPr>
          <w:spacing w:val="-9"/>
        </w:rPr>
        <w:t> </w:t>
      </w:r>
      <w:r>
        <w:rPr/>
        <w:t>had</w:t>
      </w:r>
      <w:r>
        <w:rPr>
          <w:spacing w:val="-10"/>
        </w:rPr>
        <w:t> </w:t>
      </w:r>
      <w:r>
        <w:rPr/>
        <w:t>quadrupled, totaling just over 86,000 people in 1990. Since 1990, the population quadrupled again with an estimated 373,000 people in 2016. However, this exponential growth is projected to slow as Loudoun continues to mature, a trend that may already be occurring. From 2000-2010, Loudoun was the 5th fastest growing county in the nation, but dropped to the 20th fastest growing county from 2010-2015. Even with this slowdown, Loudoun’s population is projected to increase to almost 489,000 by</w:t>
      </w:r>
      <w:r>
        <w:rPr>
          <w:spacing w:val="-5"/>
        </w:rPr>
        <w:t> </w:t>
      </w:r>
      <w:r>
        <w:rPr/>
        <w:t>2040.</w:t>
      </w:r>
      <w:r>
        <w:rPr>
          <w:position w:val="9"/>
          <w:sz w:val="16"/>
        </w:rPr>
        <w:t>1</w:t>
      </w:r>
    </w:p>
    <w:p>
      <w:pPr>
        <w:pStyle w:val="BodyText"/>
        <w:spacing w:line="259" w:lineRule="auto" w:before="170"/>
        <w:ind w:left="840" w:right="835"/>
        <w:jc w:val="both"/>
      </w:pPr>
      <w:r>
        <w:rPr/>
        <w:t>As</w:t>
      </w:r>
      <w:r>
        <w:rPr>
          <w:spacing w:val="-10"/>
        </w:rPr>
        <w:t> </w:t>
      </w:r>
      <w:r>
        <w:rPr/>
        <w:t>Loudoun’s</w:t>
      </w:r>
      <w:r>
        <w:rPr>
          <w:spacing w:val="-12"/>
        </w:rPr>
        <w:t> </w:t>
      </w:r>
      <w:r>
        <w:rPr/>
        <w:t>population</w:t>
      </w:r>
      <w:r>
        <w:rPr>
          <w:spacing w:val="-9"/>
        </w:rPr>
        <w:t> </w:t>
      </w:r>
      <w:r>
        <w:rPr/>
        <w:t>has</w:t>
      </w:r>
      <w:r>
        <w:rPr>
          <w:spacing w:val="-12"/>
        </w:rPr>
        <w:t> </w:t>
      </w:r>
      <w:r>
        <w:rPr/>
        <w:t>grown,</w:t>
      </w:r>
      <w:r>
        <w:rPr>
          <w:spacing w:val="-12"/>
        </w:rPr>
        <w:t> </w:t>
      </w:r>
      <w:r>
        <w:rPr/>
        <w:t>the</w:t>
      </w:r>
      <w:r>
        <w:rPr>
          <w:spacing w:val="-10"/>
        </w:rPr>
        <w:t> </w:t>
      </w:r>
      <w:r>
        <w:rPr/>
        <w:t>community</w:t>
      </w:r>
      <w:r>
        <w:rPr>
          <w:spacing w:val="-17"/>
        </w:rPr>
        <w:t> </w:t>
      </w:r>
      <w:r>
        <w:rPr/>
        <w:t>has</w:t>
      </w:r>
      <w:r>
        <w:rPr>
          <w:spacing w:val="-12"/>
        </w:rPr>
        <w:t> </w:t>
      </w:r>
      <w:r>
        <w:rPr/>
        <w:t>also</w:t>
      </w:r>
      <w:r>
        <w:rPr>
          <w:spacing w:val="-11"/>
        </w:rPr>
        <w:t> </w:t>
      </w:r>
      <w:r>
        <w:rPr/>
        <w:t>diversified.</w:t>
      </w:r>
      <w:r>
        <w:rPr>
          <w:spacing w:val="-8"/>
        </w:rPr>
        <w:t> </w:t>
      </w:r>
      <w:r>
        <w:rPr/>
        <w:t>Between</w:t>
      </w:r>
      <w:r>
        <w:rPr>
          <w:spacing w:val="-12"/>
        </w:rPr>
        <w:t> </w:t>
      </w:r>
      <w:r>
        <w:rPr/>
        <w:t>2000</w:t>
      </w:r>
      <w:r>
        <w:rPr>
          <w:spacing w:val="-12"/>
        </w:rPr>
        <w:t> </w:t>
      </w:r>
      <w:r>
        <w:rPr/>
        <w:t>and</w:t>
      </w:r>
      <w:r>
        <w:rPr>
          <w:spacing w:val="-12"/>
        </w:rPr>
        <w:t> </w:t>
      </w:r>
      <w:r>
        <w:rPr/>
        <w:t>2016, the percentage of Loudoun’s population identifying as Hispanic or Latino increased from 6.0 percent</w:t>
      </w:r>
      <w:r>
        <w:rPr>
          <w:spacing w:val="-11"/>
        </w:rPr>
        <w:t> </w:t>
      </w:r>
      <w:r>
        <w:rPr/>
        <w:t>to</w:t>
      </w:r>
      <w:r>
        <w:rPr>
          <w:spacing w:val="-13"/>
        </w:rPr>
        <w:t> </w:t>
      </w:r>
      <w:r>
        <w:rPr/>
        <w:t>13.7</w:t>
      </w:r>
      <w:r>
        <w:rPr>
          <w:spacing w:val="-13"/>
        </w:rPr>
        <w:t> </w:t>
      </w:r>
      <w:r>
        <w:rPr/>
        <w:t>percent.</w:t>
      </w:r>
      <w:r>
        <w:rPr>
          <w:spacing w:val="-11"/>
        </w:rPr>
        <w:t> </w:t>
      </w:r>
      <w:r>
        <w:rPr/>
        <w:t>During</w:t>
      </w:r>
      <w:r>
        <w:rPr>
          <w:spacing w:val="-16"/>
        </w:rPr>
        <w:t> </w:t>
      </w:r>
      <w:r>
        <w:rPr/>
        <w:t>the</w:t>
      </w:r>
      <w:r>
        <w:rPr>
          <w:spacing w:val="-14"/>
        </w:rPr>
        <w:t> </w:t>
      </w:r>
      <w:r>
        <w:rPr/>
        <w:t>same</w:t>
      </w:r>
      <w:r>
        <w:rPr>
          <w:spacing w:val="-12"/>
        </w:rPr>
        <w:t> </w:t>
      </w:r>
      <w:r>
        <w:rPr/>
        <w:t>time</w:t>
      </w:r>
      <w:r>
        <w:rPr>
          <w:spacing w:val="-14"/>
        </w:rPr>
        <w:t> </w:t>
      </w:r>
      <w:r>
        <w:rPr/>
        <w:t>period,</w:t>
      </w:r>
      <w:r>
        <w:rPr>
          <w:spacing w:val="-13"/>
        </w:rPr>
        <w:t> </w:t>
      </w:r>
      <w:r>
        <w:rPr/>
        <w:t>the</w:t>
      </w:r>
      <w:r>
        <w:rPr>
          <w:spacing w:val="-14"/>
        </w:rPr>
        <w:t> </w:t>
      </w:r>
      <w:r>
        <w:rPr/>
        <w:t>percentage</w:t>
      </w:r>
      <w:r>
        <w:rPr>
          <w:spacing w:val="-14"/>
        </w:rPr>
        <w:t> </w:t>
      </w:r>
      <w:r>
        <w:rPr/>
        <w:t>of</w:t>
      </w:r>
      <w:r>
        <w:rPr>
          <w:spacing w:val="-12"/>
        </w:rPr>
        <w:t> </w:t>
      </w:r>
      <w:r>
        <w:rPr/>
        <w:t>people</w:t>
      </w:r>
      <w:r>
        <w:rPr>
          <w:spacing w:val="-14"/>
        </w:rPr>
        <w:t> </w:t>
      </w:r>
      <w:r>
        <w:rPr/>
        <w:t>identifying</w:t>
      </w:r>
      <w:r>
        <w:rPr>
          <w:spacing w:val="-16"/>
        </w:rPr>
        <w:t> </w:t>
      </w:r>
      <w:r>
        <w:rPr/>
        <w:t>as</w:t>
      </w:r>
      <w:r>
        <w:rPr>
          <w:spacing w:val="-11"/>
        </w:rPr>
        <w:t> </w:t>
      </w:r>
      <w:r>
        <w:rPr/>
        <w:t>Asian</w:t>
      </w:r>
    </w:p>
    <w:p>
      <w:pPr>
        <w:spacing w:after="0" w:line="259" w:lineRule="auto"/>
        <w:jc w:val="both"/>
        <w:sectPr>
          <w:footerReference w:type="default" r:id="rId21"/>
          <w:pgSz w:w="12240" w:h="15840"/>
          <w:pgMar w:footer="1591" w:header="719" w:top="920" w:bottom="1780" w:left="600" w:right="600"/>
          <w:pgNumType w:start="1"/>
        </w:sectPr>
      </w:pPr>
    </w:p>
    <w:p>
      <w:pPr>
        <w:pStyle w:val="BodyText"/>
        <w:rPr>
          <w:sz w:val="20"/>
        </w:rPr>
      </w:pPr>
    </w:p>
    <w:p>
      <w:pPr>
        <w:pStyle w:val="BodyText"/>
        <w:rPr>
          <w:sz w:val="23"/>
        </w:rPr>
      </w:pPr>
    </w:p>
    <w:p>
      <w:pPr>
        <w:pStyle w:val="BodyText"/>
        <w:spacing w:line="256" w:lineRule="auto"/>
        <w:ind w:left="840" w:right="837"/>
        <w:jc w:val="both"/>
      </w:pPr>
      <w:r>
        <w:rPr/>
        <w:t>grew</w:t>
      </w:r>
      <w:r>
        <w:rPr>
          <w:spacing w:val="-8"/>
        </w:rPr>
        <w:t> </w:t>
      </w:r>
      <w:r>
        <w:rPr/>
        <w:t>from</w:t>
      </w:r>
      <w:r>
        <w:rPr>
          <w:spacing w:val="-7"/>
        </w:rPr>
        <w:t> </w:t>
      </w:r>
      <w:r>
        <w:rPr/>
        <w:t>5.6</w:t>
      </w:r>
      <w:r>
        <w:rPr>
          <w:spacing w:val="-7"/>
        </w:rPr>
        <w:t> </w:t>
      </w:r>
      <w:r>
        <w:rPr/>
        <w:t>percent</w:t>
      </w:r>
      <w:r>
        <w:rPr>
          <w:spacing w:val="-7"/>
        </w:rPr>
        <w:t> </w:t>
      </w:r>
      <w:r>
        <w:rPr/>
        <w:t>to</w:t>
      </w:r>
      <w:r>
        <w:rPr>
          <w:spacing w:val="-4"/>
        </w:rPr>
        <w:t> </w:t>
      </w:r>
      <w:r>
        <w:rPr/>
        <w:t>18.7</w:t>
      </w:r>
      <w:r>
        <w:rPr>
          <w:spacing w:val="-7"/>
        </w:rPr>
        <w:t> </w:t>
      </w:r>
      <w:r>
        <w:rPr/>
        <w:t>percent.</w:t>
      </w:r>
      <w:r>
        <w:rPr>
          <w:spacing w:val="-7"/>
        </w:rPr>
        <w:t> </w:t>
      </w:r>
      <w:r>
        <w:rPr/>
        <w:t>The</w:t>
      </w:r>
      <w:r>
        <w:rPr>
          <w:spacing w:val="-8"/>
        </w:rPr>
        <w:t> </w:t>
      </w:r>
      <w:r>
        <w:rPr/>
        <w:t>percentage</w:t>
      </w:r>
      <w:r>
        <w:rPr>
          <w:spacing w:val="-8"/>
        </w:rPr>
        <w:t> </w:t>
      </w:r>
      <w:r>
        <w:rPr/>
        <w:t>of</w:t>
      </w:r>
      <w:r>
        <w:rPr>
          <w:spacing w:val="-8"/>
        </w:rPr>
        <w:t> </w:t>
      </w:r>
      <w:r>
        <w:rPr/>
        <w:t>residents</w:t>
      </w:r>
      <w:r>
        <w:rPr>
          <w:spacing w:val="-7"/>
        </w:rPr>
        <w:t> </w:t>
      </w:r>
      <w:r>
        <w:rPr/>
        <w:t>identifying</w:t>
      </w:r>
      <w:r>
        <w:rPr>
          <w:spacing w:val="-10"/>
        </w:rPr>
        <w:t> </w:t>
      </w:r>
      <w:r>
        <w:rPr/>
        <w:t>as</w:t>
      </w:r>
      <w:r>
        <w:rPr>
          <w:spacing w:val="-5"/>
        </w:rPr>
        <w:t> </w:t>
      </w:r>
      <w:r>
        <w:rPr/>
        <w:t>Black</w:t>
      </w:r>
      <w:r>
        <w:rPr>
          <w:spacing w:val="-7"/>
        </w:rPr>
        <w:t> </w:t>
      </w:r>
      <w:r>
        <w:rPr/>
        <w:t>or</w:t>
      </w:r>
      <w:r>
        <w:rPr>
          <w:spacing w:val="-8"/>
        </w:rPr>
        <w:t> </w:t>
      </w:r>
      <w:r>
        <w:rPr/>
        <w:t>African American</w:t>
      </w:r>
      <w:r>
        <w:rPr>
          <w:spacing w:val="-14"/>
        </w:rPr>
        <w:t> </w:t>
      </w:r>
      <w:r>
        <w:rPr/>
        <w:t>is</w:t>
      </w:r>
      <w:r>
        <w:rPr>
          <w:spacing w:val="-14"/>
        </w:rPr>
        <w:t> </w:t>
      </w:r>
      <w:r>
        <w:rPr/>
        <w:t>also</w:t>
      </w:r>
      <w:r>
        <w:rPr>
          <w:spacing w:val="-14"/>
        </w:rPr>
        <w:t> </w:t>
      </w:r>
      <w:r>
        <w:rPr/>
        <w:t>growing,</w:t>
      </w:r>
      <w:r>
        <w:rPr>
          <w:spacing w:val="-14"/>
        </w:rPr>
        <w:t> </w:t>
      </w:r>
      <w:r>
        <w:rPr/>
        <w:t>though</w:t>
      </w:r>
      <w:r>
        <w:rPr>
          <w:spacing w:val="-14"/>
        </w:rPr>
        <w:t> </w:t>
      </w:r>
      <w:r>
        <w:rPr/>
        <w:t>at</w:t>
      </w:r>
      <w:r>
        <w:rPr>
          <w:spacing w:val="-14"/>
        </w:rPr>
        <w:t> </w:t>
      </w:r>
      <w:r>
        <w:rPr/>
        <w:t>a</w:t>
      </w:r>
      <w:r>
        <w:rPr>
          <w:spacing w:val="-15"/>
        </w:rPr>
        <w:t> </w:t>
      </w:r>
      <w:r>
        <w:rPr/>
        <w:t>much</w:t>
      </w:r>
      <w:r>
        <w:rPr>
          <w:spacing w:val="-15"/>
        </w:rPr>
        <w:t> </w:t>
      </w:r>
      <w:r>
        <w:rPr/>
        <w:t>slower</w:t>
      </w:r>
      <w:r>
        <w:rPr>
          <w:spacing w:val="-13"/>
        </w:rPr>
        <w:t> </w:t>
      </w:r>
      <w:r>
        <w:rPr/>
        <w:t>rate,</w:t>
      </w:r>
      <w:r>
        <w:rPr>
          <w:spacing w:val="-15"/>
        </w:rPr>
        <w:t> </w:t>
      </w:r>
      <w:r>
        <w:rPr/>
        <w:t>increasing</w:t>
      </w:r>
      <w:r>
        <w:rPr>
          <w:spacing w:val="-16"/>
        </w:rPr>
        <w:t> </w:t>
      </w:r>
      <w:r>
        <w:rPr/>
        <w:t>from</w:t>
      </w:r>
      <w:r>
        <w:rPr>
          <w:spacing w:val="-15"/>
        </w:rPr>
        <w:t> </w:t>
      </w:r>
      <w:r>
        <w:rPr/>
        <w:t>7.0</w:t>
      </w:r>
      <w:r>
        <w:rPr>
          <w:spacing w:val="-14"/>
        </w:rPr>
        <w:t> </w:t>
      </w:r>
      <w:r>
        <w:rPr/>
        <w:t>percent</w:t>
      </w:r>
      <w:r>
        <w:rPr>
          <w:spacing w:val="-14"/>
        </w:rPr>
        <w:t> </w:t>
      </w:r>
      <w:r>
        <w:rPr/>
        <w:t>to</w:t>
      </w:r>
      <w:r>
        <w:rPr>
          <w:spacing w:val="-14"/>
        </w:rPr>
        <w:t> </w:t>
      </w:r>
      <w:r>
        <w:rPr/>
        <w:t>7.7</w:t>
      </w:r>
      <w:r>
        <w:rPr>
          <w:spacing w:val="-14"/>
        </w:rPr>
        <w:t> </w:t>
      </w:r>
      <w:r>
        <w:rPr/>
        <w:t>percent. Overall, Loudoun’s foreign-born population has increased from 11.3 percent in 2000 to 23.9 percent in 2016.</w:t>
      </w:r>
      <w:r>
        <w:rPr>
          <w:position w:val="9"/>
          <w:sz w:val="16"/>
        </w:rPr>
        <w:t>2 </w:t>
      </w:r>
      <w:r>
        <w:rPr/>
        <w:t>This growth has led to greater diversity in service demands, expanded retail and entertainment opportunities, changes in housing needs, and overall expanded economic growth</w:t>
      </w:r>
      <w:r>
        <w:rPr>
          <w:spacing w:val="-32"/>
        </w:rPr>
        <w:t> </w:t>
      </w:r>
      <w:r>
        <w:rPr/>
        <w:t>of the</w:t>
      </w:r>
      <w:r>
        <w:rPr>
          <w:spacing w:val="-1"/>
        </w:rPr>
        <w:t> </w:t>
      </w:r>
      <w:r>
        <w:rPr/>
        <w:t>community.</w:t>
      </w:r>
    </w:p>
    <w:p>
      <w:pPr>
        <w:pStyle w:val="Heading2"/>
        <w:spacing w:before="133"/>
        <w:jc w:val="both"/>
      </w:pPr>
      <w:r>
        <w:rPr/>
        <w:pict>
          <v:shape style="position:absolute;margin-left:90.066002pt;margin-top:12.795493pt;width:395.3pt;height:419pt;mso-position-horizontal-relative:page;mso-position-vertical-relative:paragraph;z-index:-17776" coordorigin="1801,256" coordsize="7906,8380" path="m4498,7520l4492,7446,4477,7368,4455,7285,4432,7216,4402,7144,4367,7069,4325,6991,4276,6910,4236,6851,4200,6801,4200,7486,4197,7543,4185,7599,4167,7657,4138,7717,4097,7779,4044,7845,3979,7915,3674,8220,2216,6763,2517,6462,2598,6386,2672,6326,2740,6282,2801,6256,2868,6241,2941,6237,3020,6244,3105,6262,3195,6291,3255,6317,3317,6349,3380,6387,3446,6432,3514,6484,3584,6542,3656,6607,3729,6678,3789,6740,3844,6800,3896,6859,3943,6917,3986,6973,4024,7029,4059,7083,4101,7157,4136,7229,4163,7299,4183,7366,4196,7430,4200,7486,4200,6801,4194,6792,4148,6732,4098,6671,4045,6610,3989,6549,3929,6487,3865,6425,3801,6366,3737,6311,3673,6260,3643,6237,3609,6212,3546,6167,3482,6126,3419,6088,3346,6051,3274,6018,3203,5991,3132,5969,3062,5952,2992,5940,2923,5933,2850,5931,2779,5938,2709,5953,2642,5976,2577,6006,2528,6034,2476,6071,2420,6117,2359,6171,2294,6234,1801,6727,3710,8635,4124,8220,4226,8119,4287,8053,4341,7988,4386,7922,4424,7856,4454,7789,4476,7723,4491,7656,4498,7588,4498,7520m6418,5927l6056,5799,5650,5656,5561,5627,5475,5603,5393,5584,5365,5579,5314,5569,5239,5559,5193,5558,5143,5561,5089,5568,5030,5579,5074,5509,5109,5439,5136,5370,5154,5301,5164,5233,5165,5165,5157,5097,5139,5019,5111,4943,5075,4868,5030,4795,4976,4725,4956,4702,4913,4656,4872,4618,4872,5175,4868,5231,4854,5286,4830,5342,4794,5401,4747,5462,4687,5525,4413,5799,4280,5932,3649,5301,4102,4848,4166,4791,4229,4748,4293,4718,4358,4703,4422,4702,4501,4717,4577,4747,4649,4792,4718,4851,4761,4899,4797,4950,4827,5003,4851,5060,4867,5118,4872,5175,4872,4618,4849,4596,4782,4544,4713,4499,4641,4460,4566,4428,4474,4400,4386,4387,4303,4389,4225,4405,4163,4430,4098,4466,4030,4514,3958,4574,3883,4645,3248,5280,5157,7188,5346,6999,4499,6151,4718,5932,4753,5898,4783,5870,4810,5849,4833,5835,4863,5821,4896,5811,4932,5803,4971,5799,5014,5799,5066,5804,5125,5815,5194,5831,5256,5848,5328,5869,5407,5894,5496,5923,6180,6165,6418,5927m7780,4564l7415,4369,6555,3915,6555,4222,6070,4707,5989,4564,5748,4133,5708,4062,5668,3990,5629,3925,5590,3860,5550,3796,5509,3733,5467,3671,5424,3609,5380,3549,5436,3584,5498,3622,5564,3662,5635,3704,5792,3795,6555,4222,6555,3915,5862,3549,5286,3242,5082,3446,5277,3796,5316,3867,5701,4564,6168,5413,6441,5904,6642,5703,6565,5569,6298,5101,6221,4968,6481,4707,6820,4369,7565,4780,7780,4564m8131,4214l7264,3347,7489,3122,7936,2675,7711,2450,7039,3122,6448,2531,7224,1754,6999,1529,6033,2495,7941,4403,8131,4214m9707,2638l8213,1144,8024,955,8497,481,8272,256,7138,1391,7363,1616,7834,1144,9517,2827,9707,2638e" filled="true" fillcolor="#c0c0c0" stroked="false">
            <v:path arrowok="t"/>
            <v:fill opacity="32896f" type="solid"/>
            <w10:wrap type="none"/>
          </v:shape>
        </w:pict>
      </w:r>
      <w:r>
        <w:rPr>
          <w:color w:val="396230"/>
          <w:w w:val="105"/>
        </w:rPr>
        <w:t>Housing</w:t>
      </w:r>
    </w:p>
    <w:p>
      <w:pPr>
        <w:pStyle w:val="BodyText"/>
        <w:spacing w:line="259" w:lineRule="auto" w:before="52"/>
        <w:ind w:left="840" w:right="837"/>
        <w:jc w:val="both"/>
      </w:pPr>
      <w:r>
        <w:rPr/>
        <w:t>As of 2017, Loudoun ranked number one in the country for the highest median household</w:t>
      </w:r>
      <w:r>
        <w:rPr>
          <w:spacing w:val="-38"/>
        </w:rPr>
        <w:t> </w:t>
      </w:r>
      <w:r>
        <w:rPr/>
        <w:t>income for</w:t>
      </w:r>
      <w:r>
        <w:rPr>
          <w:spacing w:val="-13"/>
        </w:rPr>
        <w:t> </w:t>
      </w:r>
      <w:r>
        <w:rPr/>
        <w:t>the</w:t>
      </w:r>
      <w:r>
        <w:rPr>
          <w:spacing w:val="-12"/>
        </w:rPr>
        <w:t> </w:t>
      </w:r>
      <w:r>
        <w:rPr/>
        <w:t>tenth</w:t>
      </w:r>
      <w:r>
        <w:rPr>
          <w:spacing w:val="-9"/>
        </w:rPr>
        <w:t> </w:t>
      </w:r>
      <w:r>
        <w:rPr/>
        <w:t>straight</w:t>
      </w:r>
      <w:r>
        <w:rPr>
          <w:spacing w:val="-7"/>
        </w:rPr>
        <w:t> </w:t>
      </w:r>
      <w:r>
        <w:rPr/>
        <w:t>year,</w:t>
      </w:r>
      <w:r>
        <w:rPr>
          <w:spacing w:val="-8"/>
        </w:rPr>
        <w:t> </w:t>
      </w:r>
      <w:r>
        <w:rPr/>
        <w:t>yet</w:t>
      </w:r>
      <w:r>
        <w:rPr>
          <w:spacing w:val="-9"/>
        </w:rPr>
        <w:t> </w:t>
      </w:r>
      <w:r>
        <w:rPr/>
        <w:t>housing</w:t>
      </w:r>
      <w:r>
        <w:rPr>
          <w:spacing w:val="-11"/>
        </w:rPr>
        <w:t> </w:t>
      </w:r>
      <w:r>
        <w:rPr/>
        <w:t>affordability</w:t>
      </w:r>
      <w:r>
        <w:rPr>
          <w:spacing w:val="-13"/>
        </w:rPr>
        <w:t> </w:t>
      </w:r>
      <w:r>
        <w:rPr/>
        <w:t>and</w:t>
      </w:r>
      <w:r>
        <w:rPr>
          <w:spacing w:val="-11"/>
        </w:rPr>
        <w:t> </w:t>
      </w:r>
      <w:r>
        <w:rPr/>
        <w:t>attainability</w:t>
      </w:r>
      <w:r>
        <w:rPr>
          <w:spacing w:val="-16"/>
        </w:rPr>
        <w:t> </w:t>
      </w:r>
      <w:r>
        <w:rPr/>
        <w:t>remain</w:t>
      </w:r>
      <w:r>
        <w:rPr>
          <w:spacing w:val="-9"/>
        </w:rPr>
        <w:t> </w:t>
      </w:r>
      <w:r>
        <w:rPr/>
        <w:t>a</w:t>
      </w:r>
      <w:r>
        <w:rPr>
          <w:spacing w:val="-12"/>
        </w:rPr>
        <w:t> </w:t>
      </w:r>
      <w:r>
        <w:rPr/>
        <w:t>significant</w:t>
      </w:r>
      <w:r>
        <w:rPr>
          <w:spacing w:val="-11"/>
        </w:rPr>
        <w:t> </w:t>
      </w:r>
      <w:r>
        <w:rPr/>
        <w:t>challenge in the County and the region. Limited housing supply and high demand presents difficulties for employers in attracting employees and contributes to workforce instability, especially in lower paying</w:t>
      </w:r>
      <w:r>
        <w:rPr>
          <w:spacing w:val="-4"/>
        </w:rPr>
        <w:t> </w:t>
      </w:r>
      <w:r>
        <w:rPr/>
        <w:t>industries.</w:t>
      </w:r>
    </w:p>
    <w:p>
      <w:pPr>
        <w:pStyle w:val="BodyText"/>
        <w:spacing w:line="259" w:lineRule="auto" w:before="159"/>
        <w:ind w:left="840" w:right="833"/>
        <w:jc w:val="both"/>
      </w:pPr>
      <w:r>
        <w:rPr/>
        <w:t>Over</w:t>
      </w:r>
      <w:r>
        <w:rPr>
          <w:spacing w:val="-15"/>
        </w:rPr>
        <w:t> </w:t>
      </w:r>
      <w:r>
        <w:rPr/>
        <w:t>82</w:t>
      </w:r>
      <w:r>
        <w:rPr>
          <w:spacing w:val="-15"/>
        </w:rPr>
        <w:t> </w:t>
      </w:r>
      <w:r>
        <w:rPr/>
        <w:t>percent</w:t>
      </w:r>
      <w:r>
        <w:rPr>
          <w:spacing w:val="-15"/>
        </w:rPr>
        <w:t> </w:t>
      </w:r>
      <w:r>
        <w:rPr/>
        <w:t>of</w:t>
      </w:r>
      <w:r>
        <w:rPr>
          <w:spacing w:val="-14"/>
        </w:rPr>
        <w:t> </w:t>
      </w:r>
      <w:r>
        <w:rPr/>
        <w:t>Loudoun’s</w:t>
      </w:r>
      <w:r>
        <w:rPr>
          <w:spacing w:val="-15"/>
        </w:rPr>
        <w:t> </w:t>
      </w:r>
      <w:r>
        <w:rPr/>
        <w:t>existing</w:t>
      </w:r>
      <w:r>
        <w:rPr>
          <w:spacing w:val="-16"/>
        </w:rPr>
        <w:t> </w:t>
      </w:r>
      <w:r>
        <w:rPr/>
        <w:t>housing</w:t>
      </w:r>
      <w:r>
        <w:rPr>
          <w:spacing w:val="-17"/>
        </w:rPr>
        <w:t> </w:t>
      </w:r>
      <w:r>
        <w:rPr/>
        <w:t>stock</w:t>
      </w:r>
      <w:r>
        <w:rPr>
          <w:spacing w:val="-15"/>
        </w:rPr>
        <w:t> </w:t>
      </w:r>
      <w:r>
        <w:rPr/>
        <w:t>consists</w:t>
      </w:r>
      <w:r>
        <w:rPr>
          <w:spacing w:val="-15"/>
        </w:rPr>
        <w:t> </w:t>
      </w:r>
      <w:r>
        <w:rPr/>
        <w:t>of</w:t>
      </w:r>
      <w:r>
        <w:rPr>
          <w:spacing w:val="-14"/>
        </w:rPr>
        <w:t> </w:t>
      </w:r>
      <w:r>
        <w:rPr/>
        <w:t>traditional</w:t>
      </w:r>
      <w:r>
        <w:rPr>
          <w:spacing w:val="-17"/>
        </w:rPr>
        <w:t> </w:t>
      </w:r>
      <w:r>
        <w:rPr/>
        <w:t>suburban</w:t>
      </w:r>
      <w:r>
        <w:rPr>
          <w:spacing w:val="-15"/>
        </w:rPr>
        <w:t> </w:t>
      </w:r>
      <w:r>
        <w:rPr/>
        <w:t>single-family detached</w:t>
      </w:r>
      <w:r>
        <w:rPr>
          <w:spacing w:val="-7"/>
        </w:rPr>
        <w:t> </w:t>
      </w:r>
      <w:r>
        <w:rPr/>
        <w:t>and</w:t>
      </w:r>
      <w:r>
        <w:rPr>
          <w:spacing w:val="-7"/>
        </w:rPr>
        <w:t> </w:t>
      </w:r>
      <w:r>
        <w:rPr/>
        <w:t>single-family</w:t>
      </w:r>
      <w:r>
        <w:rPr>
          <w:spacing w:val="-12"/>
        </w:rPr>
        <w:t> </w:t>
      </w:r>
      <w:r>
        <w:rPr/>
        <w:t>attached</w:t>
      </w:r>
      <w:r>
        <w:rPr>
          <w:spacing w:val="-7"/>
        </w:rPr>
        <w:t> </w:t>
      </w:r>
      <w:r>
        <w:rPr/>
        <w:t>dwellings.</w:t>
      </w:r>
      <w:r>
        <w:rPr>
          <w:spacing w:val="-7"/>
        </w:rPr>
        <w:t> </w:t>
      </w:r>
      <w:r>
        <w:rPr/>
        <w:t>Most</w:t>
      </w:r>
      <w:r>
        <w:rPr>
          <w:spacing w:val="-7"/>
        </w:rPr>
        <w:t> </w:t>
      </w:r>
      <w:r>
        <w:rPr/>
        <w:t>of</w:t>
      </w:r>
      <w:r>
        <w:rPr>
          <w:spacing w:val="-8"/>
        </w:rPr>
        <w:t> </w:t>
      </w:r>
      <w:r>
        <w:rPr/>
        <w:t>the</w:t>
      </w:r>
      <w:r>
        <w:rPr>
          <w:spacing w:val="-8"/>
        </w:rPr>
        <w:t> </w:t>
      </w:r>
      <w:r>
        <w:rPr/>
        <w:t>housing</w:t>
      </w:r>
      <w:r>
        <w:rPr>
          <w:spacing w:val="-10"/>
        </w:rPr>
        <w:t> </w:t>
      </w:r>
      <w:r>
        <w:rPr/>
        <w:t>stock</w:t>
      </w:r>
      <w:r>
        <w:rPr>
          <w:spacing w:val="-4"/>
        </w:rPr>
        <w:t> </w:t>
      </w:r>
      <w:r>
        <w:rPr/>
        <w:t>is</w:t>
      </w:r>
      <w:r>
        <w:rPr>
          <w:spacing w:val="-7"/>
        </w:rPr>
        <w:t> </w:t>
      </w:r>
      <w:r>
        <w:rPr/>
        <w:t>also</w:t>
      </w:r>
      <w:r>
        <w:rPr>
          <w:spacing w:val="-7"/>
        </w:rPr>
        <w:t> </w:t>
      </w:r>
      <w:r>
        <w:rPr/>
        <w:t>considered</w:t>
      </w:r>
      <w:r>
        <w:rPr>
          <w:spacing w:val="-7"/>
        </w:rPr>
        <w:t> </w:t>
      </w:r>
      <w:r>
        <w:rPr/>
        <w:t>large, with 80 percent of all dwellings containing three or more bedrooms. Conversely, studio and one- bedroom housing makes up less than six percent of all housing in Loudoun. National trends show that smaller households, such as aging seniors, couples without children, and single persons, may demand different housing types, public services, and lifestyle options than provided in the</w:t>
      </w:r>
      <w:r>
        <w:rPr>
          <w:spacing w:val="-14"/>
        </w:rPr>
        <w:t> </w:t>
      </w:r>
      <w:r>
        <w:rPr/>
        <w:t>past.</w:t>
      </w:r>
    </w:p>
    <w:p>
      <w:pPr>
        <w:pStyle w:val="BodyText"/>
        <w:spacing w:line="259" w:lineRule="auto" w:before="161"/>
        <w:ind w:left="840" w:right="833"/>
        <w:jc w:val="both"/>
      </w:pPr>
      <w:r>
        <w:rPr/>
        <w:t>There is also a general national trend toward more people living in multigenerational households, where</w:t>
      </w:r>
      <w:r>
        <w:rPr>
          <w:spacing w:val="-8"/>
        </w:rPr>
        <w:t> </w:t>
      </w:r>
      <w:r>
        <w:rPr/>
        <w:t>extended</w:t>
      </w:r>
      <w:r>
        <w:rPr>
          <w:spacing w:val="-9"/>
        </w:rPr>
        <w:t> </w:t>
      </w:r>
      <w:r>
        <w:rPr/>
        <w:t>family</w:t>
      </w:r>
      <w:r>
        <w:rPr>
          <w:spacing w:val="-13"/>
        </w:rPr>
        <w:t> </w:t>
      </w:r>
      <w:r>
        <w:rPr/>
        <w:t>lives</w:t>
      </w:r>
      <w:r>
        <w:rPr>
          <w:spacing w:val="-8"/>
        </w:rPr>
        <w:t> </w:t>
      </w:r>
      <w:r>
        <w:rPr/>
        <w:t>together.</w:t>
      </w:r>
      <w:r>
        <w:rPr>
          <w:spacing w:val="-8"/>
        </w:rPr>
        <w:t> </w:t>
      </w:r>
      <w:r>
        <w:rPr/>
        <w:t>This</w:t>
      </w:r>
      <w:r>
        <w:rPr>
          <w:spacing w:val="-8"/>
        </w:rPr>
        <w:t> </w:t>
      </w:r>
      <w:r>
        <w:rPr/>
        <w:t>trend</w:t>
      </w:r>
      <w:r>
        <w:rPr>
          <w:spacing w:val="-9"/>
        </w:rPr>
        <w:t> </w:t>
      </w:r>
      <w:r>
        <w:rPr/>
        <w:t>can</w:t>
      </w:r>
      <w:r>
        <w:rPr>
          <w:spacing w:val="-9"/>
        </w:rPr>
        <w:t> </w:t>
      </w:r>
      <w:r>
        <w:rPr/>
        <w:t>be</w:t>
      </w:r>
      <w:r>
        <w:rPr>
          <w:spacing w:val="-10"/>
        </w:rPr>
        <w:t> </w:t>
      </w:r>
      <w:r>
        <w:rPr/>
        <w:t>attributed</w:t>
      </w:r>
      <w:r>
        <w:rPr>
          <w:spacing w:val="-9"/>
        </w:rPr>
        <w:t> </w:t>
      </w:r>
      <w:r>
        <w:rPr/>
        <w:t>to</w:t>
      </w:r>
      <w:r>
        <w:rPr>
          <w:spacing w:val="-6"/>
        </w:rPr>
        <w:t> </w:t>
      </w:r>
      <w:r>
        <w:rPr/>
        <w:t>a</w:t>
      </w:r>
      <w:r>
        <w:rPr>
          <w:spacing w:val="-10"/>
        </w:rPr>
        <w:t> </w:t>
      </w:r>
      <w:r>
        <w:rPr/>
        <w:t>number</w:t>
      </w:r>
      <w:r>
        <w:rPr>
          <w:spacing w:val="-9"/>
        </w:rPr>
        <w:t> </w:t>
      </w:r>
      <w:r>
        <w:rPr/>
        <w:t>of</w:t>
      </w:r>
      <w:r>
        <w:rPr>
          <w:spacing w:val="-7"/>
        </w:rPr>
        <w:t> </w:t>
      </w:r>
      <w:r>
        <w:rPr/>
        <w:t>factors</w:t>
      </w:r>
      <w:r>
        <w:rPr>
          <w:spacing w:val="-9"/>
        </w:rPr>
        <w:t> </w:t>
      </w:r>
      <w:r>
        <w:rPr/>
        <w:t>including housing affordability and cultural traditions as more foreign-born residents settle in the region. Multigenerational</w:t>
      </w:r>
      <w:r>
        <w:rPr>
          <w:spacing w:val="-8"/>
        </w:rPr>
        <w:t> </w:t>
      </w:r>
      <w:r>
        <w:rPr/>
        <w:t>households</w:t>
      </w:r>
      <w:r>
        <w:rPr>
          <w:spacing w:val="-8"/>
        </w:rPr>
        <w:t> </w:t>
      </w:r>
      <w:r>
        <w:rPr/>
        <w:t>may</w:t>
      </w:r>
      <w:r>
        <w:rPr>
          <w:spacing w:val="-13"/>
        </w:rPr>
        <w:t> </w:t>
      </w:r>
      <w:r>
        <w:rPr/>
        <w:t>require</w:t>
      </w:r>
      <w:r>
        <w:rPr>
          <w:spacing w:val="-10"/>
        </w:rPr>
        <w:t> </w:t>
      </w:r>
      <w:r>
        <w:rPr/>
        <w:t>different</w:t>
      </w:r>
      <w:r>
        <w:rPr>
          <w:spacing w:val="-8"/>
        </w:rPr>
        <w:t> </w:t>
      </w:r>
      <w:r>
        <w:rPr/>
        <w:t>types</w:t>
      </w:r>
      <w:r>
        <w:rPr>
          <w:spacing w:val="-8"/>
        </w:rPr>
        <w:t> </w:t>
      </w:r>
      <w:r>
        <w:rPr/>
        <w:t>of</w:t>
      </w:r>
      <w:r>
        <w:rPr>
          <w:spacing w:val="-9"/>
        </w:rPr>
        <w:t> </w:t>
      </w:r>
      <w:r>
        <w:rPr/>
        <w:t>housing</w:t>
      </w:r>
      <w:r>
        <w:rPr>
          <w:spacing w:val="-11"/>
        </w:rPr>
        <w:t> </w:t>
      </w:r>
      <w:r>
        <w:rPr/>
        <w:t>options,</w:t>
      </w:r>
      <w:r>
        <w:rPr>
          <w:spacing w:val="-9"/>
        </w:rPr>
        <w:t> </w:t>
      </w:r>
      <w:r>
        <w:rPr/>
        <w:t>with</w:t>
      </w:r>
      <w:r>
        <w:rPr>
          <w:spacing w:val="-6"/>
        </w:rPr>
        <w:t> </w:t>
      </w:r>
      <w:r>
        <w:rPr/>
        <w:t>larger</w:t>
      </w:r>
      <w:r>
        <w:rPr>
          <w:spacing w:val="-7"/>
        </w:rPr>
        <w:t> </w:t>
      </w:r>
      <w:r>
        <w:rPr/>
        <w:t>common areas, accessory apartments, in-law suites, or other attributes that help accommodate the needs of multiple generations living</w:t>
      </w:r>
      <w:r>
        <w:rPr>
          <w:spacing w:val="-4"/>
        </w:rPr>
        <w:t> </w:t>
      </w:r>
      <w:r>
        <w:rPr/>
        <w:t>together.</w:t>
      </w:r>
    </w:p>
    <w:p>
      <w:pPr>
        <w:pStyle w:val="BodyText"/>
        <w:spacing w:line="259" w:lineRule="auto" w:before="158"/>
        <w:ind w:left="840" w:right="834"/>
        <w:jc w:val="both"/>
      </w:pPr>
      <w:r>
        <w:rPr/>
        <w:t>The amount of land available for new residential development also affects housing affordability and availability. The Suburban Policy Area, where land use policy has concentrated most residential development, is approaching buildout with less than 1,200 vacant acres remaining for residential</w:t>
      </w:r>
      <w:r>
        <w:rPr>
          <w:spacing w:val="-3"/>
        </w:rPr>
        <w:t> </w:t>
      </w:r>
      <w:r>
        <w:rPr/>
        <w:t>uses.</w:t>
      </w:r>
      <w:r>
        <w:rPr>
          <w:spacing w:val="-3"/>
        </w:rPr>
        <w:t> </w:t>
      </w:r>
      <w:r>
        <w:rPr/>
        <w:t>With</w:t>
      </w:r>
      <w:r>
        <w:rPr>
          <w:spacing w:val="-4"/>
        </w:rPr>
        <w:t> </w:t>
      </w:r>
      <w:r>
        <w:rPr/>
        <w:t>limited</w:t>
      </w:r>
      <w:r>
        <w:rPr>
          <w:spacing w:val="-4"/>
        </w:rPr>
        <w:t> </w:t>
      </w:r>
      <w:r>
        <w:rPr/>
        <w:t>land</w:t>
      </w:r>
      <w:r>
        <w:rPr>
          <w:spacing w:val="-4"/>
        </w:rPr>
        <w:t> </w:t>
      </w:r>
      <w:r>
        <w:rPr/>
        <w:t>available</w:t>
      </w:r>
      <w:r>
        <w:rPr>
          <w:spacing w:val="-1"/>
        </w:rPr>
        <w:t> </w:t>
      </w:r>
      <w:r>
        <w:rPr/>
        <w:t>for</w:t>
      </w:r>
      <w:r>
        <w:rPr>
          <w:spacing w:val="-5"/>
        </w:rPr>
        <w:t> </w:t>
      </w:r>
      <w:r>
        <w:rPr/>
        <w:t>development</w:t>
      </w:r>
      <w:r>
        <w:rPr>
          <w:spacing w:val="-4"/>
        </w:rPr>
        <w:t> </w:t>
      </w:r>
      <w:r>
        <w:rPr/>
        <w:t>in</w:t>
      </w:r>
      <w:r>
        <w:rPr>
          <w:spacing w:val="-3"/>
        </w:rPr>
        <w:t> </w:t>
      </w:r>
      <w:r>
        <w:rPr/>
        <w:t>the</w:t>
      </w:r>
      <w:r>
        <w:rPr>
          <w:spacing w:val="-4"/>
        </w:rPr>
        <w:t> </w:t>
      </w:r>
      <w:r>
        <w:rPr/>
        <w:t>Suburban</w:t>
      </w:r>
      <w:r>
        <w:rPr>
          <w:spacing w:val="-4"/>
        </w:rPr>
        <w:t> </w:t>
      </w:r>
      <w:r>
        <w:rPr/>
        <w:t>Policy</w:t>
      </w:r>
      <w:r>
        <w:rPr>
          <w:spacing w:val="-9"/>
        </w:rPr>
        <w:t> </w:t>
      </w:r>
      <w:r>
        <w:rPr/>
        <w:t>Area</w:t>
      </w:r>
      <w:r>
        <w:rPr>
          <w:spacing w:val="-3"/>
        </w:rPr>
        <w:t> </w:t>
      </w:r>
      <w:r>
        <w:rPr/>
        <w:t>and</w:t>
      </w:r>
      <w:r>
        <w:rPr>
          <w:spacing w:val="-4"/>
        </w:rPr>
        <w:t> </w:t>
      </w:r>
      <w:r>
        <w:rPr/>
        <w:t>the County’s desire to protect the unique character of the Rural Policy Area, </w:t>
      </w:r>
      <w:r>
        <w:rPr>
          <w:i/>
        </w:rPr>
        <w:t>Loudoun 2040 </w:t>
      </w:r>
      <w:r>
        <w:rPr/>
        <w:t>includes a more targeted approach regarding infill development and revitalization of aging areas. </w:t>
      </w:r>
      <w:r>
        <w:rPr>
          <w:i/>
        </w:rPr>
        <w:t>Loudoun </w:t>
      </w:r>
      <w:r>
        <w:rPr>
          <w:i/>
        </w:rPr>
        <w:t>2040 </w:t>
      </w:r>
      <w:r>
        <w:rPr/>
        <w:t>seeks to address these competing factors of limited land supply and increasing residential demand by encouraging a greater diversity of housing types, including affordable and workforce housing, near jobs, schools, and transportation</w:t>
      </w:r>
      <w:r>
        <w:rPr>
          <w:spacing w:val="-1"/>
        </w:rPr>
        <w:t> </w:t>
      </w:r>
      <w:r>
        <w:rPr/>
        <w:t>facilities.</w:t>
      </w:r>
    </w:p>
    <w:p>
      <w:pPr>
        <w:pStyle w:val="Heading2"/>
        <w:spacing w:before="130"/>
        <w:jc w:val="both"/>
      </w:pPr>
      <w:r>
        <w:rPr>
          <w:color w:val="396230"/>
          <w:w w:val="105"/>
        </w:rPr>
        <w:t>Transit</w:t>
      </w:r>
    </w:p>
    <w:p>
      <w:pPr>
        <w:pStyle w:val="BodyText"/>
        <w:spacing w:line="259" w:lineRule="auto" w:before="53"/>
        <w:ind w:left="840" w:right="839"/>
        <w:jc w:val="both"/>
      </w:pPr>
      <w:r>
        <w:rPr/>
        <w:t>The County’s connection to the regional Metrorail network through the Silver Line extension signals a new era for Loudoun, with significant impacts on transit options available to Loudoun’s residents,</w:t>
      </w:r>
      <w:r>
        <w:rPr>
          <w:spacing w:val="-9"/>
        </w:rPr>
        <w:t> </w:t>
      </w:r>
      <w:r>
        <w:rPr/>
        <w:t>workers,</w:t>
      </w:r>
      <w:r>
        <w:rPr>
          <w:spacing w:val="-10"/>
        </w:rPr>
        <w:t> </w:t>
      </w:r>
      <w:r>
        <w:rPr/>
        <w:t>and</w:t>
      </w:r>
      <w:r>
        <w:rPr>
          <w:spacing w:val="-10"/>
        </w:rPr>
        <w:t> </w:t>
      </w:r>
      <w:r>
        <w:rPr/>
        <w:t>visitors.</w:t>
      </w:r>
      <w:r>
        <w:rPr>
          <w:spacing w:val="-9"/>
        </w:rPr>
        <w:t> </w:t>
      </w:r>
      <w:r>
        <w:rPr/>
        <w:t>Two</w:t>
      </w:r>
      <w:r>
        <w:rPr>
          <w:spacing w:val="-10"/>
        </w:rPr>
        <w:t> </w:t>
      </w:r>
      <w:r>
        <w:rPr/>
        <w:t>Metrorail</w:t>
      </w:r>
      <w:r>
        <w:rPr>
          <w:spacing w:val="-8"/>
        </w:rPr>
        <w:t> </w:t>
      </w:r>
      <w:r>
        <w:rPr/>
        <w:t>stations</w:t>
      </w:r>
      <w:r>
        <w:rPr>
          <w:spacing w:val="-9"/>
        </w:rPr>
        <w:t> </w:t>
      </w:r>
      <w:r>
        <w:rPr/>
        <w:t>in</w:t>
      </w:r>
      <w:r>
        <w:rPr>
          <w:spacing w:val="-9"/>
        </w:rPr>
        <w:t> </w:t>
      </w:r>
      <w:r>
        <w:rPr/>
        <w:t>Loudoun</w:t>
      </w:r>
      <w:r>
        <w:rPr>
          <w:spacing w:val="-10"/>
        </w:rPr>
        <w:t> </w:t>
      </w:r>
      <w:r>
        <w:rPr/>
        <w:t>provide</w:t>
      </w:r>
      <w:r>
        <w:rPr>
          <w:spacing w:val="-8"/>
        </w:rPr>
        <w:t> </w:t>
      </w:r>
      <w:r>
        <w:rPr/>
        <w:t>a</w:t>
      </w:r>
      <w:r>
        <w:rPr>
          <w:spacing w:val="-11"/>
        </w:rPr>
        <w:t> </w:t>
      </w:r>
      <w:r>
        <w:rPr/>
        <w:t>gateway</w:t>
      </w:r>
      <w:r>
        <w:rPr>
          <w:spacing w:val="-14"/>
        </w:rPr>
        <w:t> </w:t>
      </w:r>
      <w:r>
        <w:rPr/>
        <w:t>to</w:t>
      </w:r>
      <w:r>
        <w:rPr>
          <w:spacing w:val="-7"/>
        </w:rPr>
        <w:t> </w:t>
      </w:r>
      <w:r>
        <w:rPr/>
        <w:t>Loudoun County</w:t>
      </w:r>
      <w:r>
        <w:rPr>
          <w:spacing w:val="25"/>
        </w:rPr>
        <w:t> </w:t>
      </w:r>
      <w:r>
        <w:rPr/>
        <w:t>from</w:t>
      </w:r>
      <w:r>
        <w:rPr>
          <w:spacing w:val="30"/>
        </w:rPr>
        <w:t> </w:t>
      </w:r>
      <w:r>
        <w:rPr/>
        <w:t>Washington,</w:t>
      </w:r>
      <w:r>
        <w:rPr>
          <w:spacing w:val="30"/>
        </w:rPr>
        <w:t> </w:t>
      </w:r>
      <w:r>
        <w:rPr/>
        <w:t>D.C.,</w:t>
      </w:r>
      <w:r>
        <w:rPr>
          <w:spacing w:val="30"/>
        </w:rPr>
        <w:t> </w:t>
      </w:r>
      <w:r>
        <w:rPr/>
        <w:t>while</w:t>
      </w:r>
      <w:r>
        <w:rPr>
          <w:spacing w:val="32"/>
        </w:rPr>
        <w:t> </w:t>
      </w:r>
      <w:r>
        <w:rPr/>
        <w:t>also</w:t>
      </w:r>
      <w:r>
        <w:rPr>
          <w:spacing w:val="31"/>
        </w:rPr>
        <w:t> </w:t>
      </w:r>
      <w:r>
        <w:rPr/>
        <w:t>providing</w:t>
      </w:r>
      <w:r>
        <w:rPr>
          <w:spacing w:val="30"/>
        </w:rPr>
        <w:t> </w:t>
      </w:r>
      <w:r>
        <w:rPr/>
        <w:t>Loudoun’s</w:t>
      </w:r>
      <w:r>
        <w:rPr>
          <w:spacing w:val="32"/>
        </w:rPr>
        <w:t> </w:t>
      </w:r>
      <w:r>
        <w:rPr/>
        <w:t>residents</w:t>
      </w:r>
      <w:r>
        <w:rPr>
          <w:spacing w:val="31"/>
        </w:rPr>
        <w:t> </w:t>
      </w:r>
      <w:r>
        <w:rPr/>
        <w:t>with</w:t>
      </w:r>
      <w:r>
        <w:rPr>
          <w:spacing w:val="30"/>
        </w:rPr>
        <w:t> </w:t>
      </w:r>
      <w:r>
        <w:rPr/>
        <w:t>an</w:t>
      </w:r>
      <w:r>
        <w:rPr>
          <w:spacing w:val="32"/>
        </w:rPr>
        <w:t> </w:t>
      </w:r>
      <w:r>
        <w:rPr/>
        <w:t>alternative</w:t>
      </w:r>
    </w:p>
    <w:p>
      <w:pPr>
        <w:spacing w:after="0" w:line="259" w:lineRule="auto"/>
        <w:jc w:val="both"/>
        <w:sectPr>
          <w:footerReference w:type="default" r:id="rId22"/>
          <w:pgSz w:w="12240" w:h="15840"/>
          <w:pgMar w:footer="1591" w:header="719" w:top="920" w:bottom="1780" w:left="600" w:right="600"/>
          <w:pgNumType w:start="2"/>
        </w:sectPr>
      </w:pPr>
    </w:p>
    <w:p>
      <w:pPr>
        <w:pStyle w:val="BodyText"/>
        <w:rPr>
          <w:sz w:val="20"/>
        </w:rPr>
      </w:pPr>
    </w:p>
    <w:p>
      <w:pPr>
        <w:pStyle w:val="BodyText"/>
        <w:rPr>
          <w:sz w:val="23"/>
        </w:rPr>
      </w:pPr>
    </w:p>
    <w:p>
      <w:pPr>
        <w:pStyle w:val="BodyText"/>
        <w:spacing w:line="256" w:lineRule="auto"/>
        <w:ind w:left="840" w:right="834"/>
        <w:jc w:val="both"/>
      </w:pPr>
      <w:r>
        <w:rPr/>
        <w:t>method of commuting to the east. Access to the Silver Line creates the opportunity to develop vibrant, transit-oriented, mixed-use, urban environments around the Metrorail stations, where people can live and work in close proximity to regional transit.</w:t>
      </w:r>
    </w:p>
    <w:p>
      <w:pPr>
        <w:pStyle w:val="BodyText"/>
        <w:spacing w:line="256" w:lineRule="auto" w:before="168"/>
        <w:ind w:left="840" w:right="834"/>
        <w:jc w:val="both"/>
      </w:pPr>
      <w:r>
        <w:rPr/>
        <w:pict>
          <v:shape style="position:absolute;margin-left:90.066002pt;margin-top:52.093102pt;width:395.3pt;height:419pt;mso-position-horizontal-relative:page;mso-position-vertical-relative:paragraph;z-index:-17728" coordorigin="1801,1042" coordsize="7906,8380" path="m4498,8306l4492,8232,4477,8154,4455,8071,4432,8002,4402,7930,4367,7855,4325,7777,4276,7696,4236,7637,4200,7587,4200,8272,4197,8329,4185,8385,4167,8443,4138,8503,4097,8565,4044,8631,3979,8701,3674,9006,2216,7548,2517,7248,2598,7172,2672,7112,2740,7068,2801,7042,2868,7027,2941,7023,3020,7030,3105,7048,3195,7077,3255,7103,3317,7135,3380,7173,3446,7218,3514,7270,3584,7328,3656,7393,3729,7464,3789,7526,3844,7586,3896,7645,3943,7703,3986,7759,4024,7815,4059,7868,4101,7943,4136,8015,4163,8085,4183,8152,4196,8216,4200,8272,4200,7587,4194,7578,4148,7518,4098,7457,4045,7396,3989,7335,3929,7273,3865,7211,3801,7152,3737,7097,3673,7046,3643,7023,3609,6998,3546,6953,3482,6912,3419,6874,3346,6837,3274,6804,3203,6777,3132,6755,3062,6738,2992,6726,2923,6719,2850,6717,2779,6724,2709,6739,2642,6762,2577,6792,2528,6820,2476,6857,2420,6903,2359,6957,2294,7020,1801,7513,3710,9421,4124,9006,4226,8904,4287,8839,4341,8774,4386,8708,4424,8641,4454,8575,4476,8509,4491,8442,4498,8374,4498,8306m6418,6712l6056,6585,5650,6442,5561,6413,5475,6389,5393,6370,5364,6364,5314,6355,5239,6345,5193,6344,5143,6347,5089,6354,5030,6364,5074,6295,5109,6225,5136,6156,5154,6087,5164,6019,5165,5951,5157,5883,5139,5805,5111,5729,5075,5654,5030,5581,4976,5511,4956,5488,4913,5442,4872,5404,4872,5961,4868,6017,4854,6072,4830,6128,4794,6187,4747,6248,4687,6311,4413,6585,4280,6718,3649,6087,4102,5634,4166,5577,4229,5534,4293,5504,4358,5489,4422,5488,4501,5503,4577,5533,4649,5578,4718,5637,4761,5685,4797,5736,4827,5789,4851,5846,4867,5904,4872,5961,4872,5404,4849,5382,4782,5330,4713,5285,4641,5246,4566,5214,4474,5186,4386,5173,4303,5175,4225,5191,4163,5216,4098,5252,4030,5300,3958,5360,3883,5431,3248,6066,5157,7974,5346,7784,4499,6937,4718,6718,4753,6684,4783,6656,4810,6635,4833,6621,4863,6607,4896,6597,4932,6589,4971,6585,5014,6585,5066,6590,5125,6600,5194,6617,5256,6634,5328,6655,5407,6680,5496,6709,6180,6950,6418,6712m7780,5350l7415,5155,6555,4701,6555,5008,6070,5493,5989,5350,5748,4919,5708,4848,5668,4776,5629,4711,5590,4646,5550,4582,5509,4519,5467,4457,5424,4395,5380,4335,5436,4370,5498,4408,5564,4448,5635,4490,5792,4581,6555,5008,6555,4701,5862,4335,5286,4028,5082,4232,5277,4582,5316,4653,5701,5350,6168,6199,6441,6690,6642,6489,6565,6355,6298,5887,6221,5753,6481,5493,6820,5155,7565,5566,7780,5350m8131,5000l7264,4133,7489,3907,7936,3461,7711,3236,7039,3907,6448,3317,7224,2540,6999,2315,6033,3281,7941,5189,8131,5000m9707,3424l8213,1930,8024,1741,8497,1267,8272,1042,7138,2176,7363,2402,7834,1930,9517,3613,9707,3424e" filled="true" fillcolor="#c0c0c0" stroked="false">
            <v:path arrowok="t"/>
            <v:fill opacity="32896f" type="solid"/>
            <w10:wrap type="none"/>
          </v:shape>
        </w:pict>
      </w:r>
      <w:r>
        <w:rPr/>
        <w:t>The Washington Dulles International Airport will also continue to serve as a major transportation gateway to the country and the world. It provides a critical economic engine for leisure and business travel as well as cargo transport for the County and the larger Washington, D.C. region. In 2017, 265,025 flights operated out of Washington Dulles International Airport, serving nearly 22,800,000 passengers, including 7,744,586 international travelers.</w:t>
      </w:r>
      <w:r>
        <w:rPr>
          <w:position w:val="9"/>
          <w:sz w:val="16"/>
        </w:rPr>
        <w:t>3 </w:t>
      </w:r>
      <w:r>
        <w:rPr/>
        <w:t>With its close proximity to the Metrorail stations and Urban Policy Areas, Washington Dulles International Airport is well positioned to grow moving into the future, operating at approximately one-third of its ultimate capacity.</w:t>
      </w:r>
    </w:p>
    <w:p>
      <w:pPr>
        <w:pStyle w:val="Heading2"/>
        <w:spacing w:before="138"/>
        <w:jc w:val="both"/>
      </w:pPr>
      <w:r>
        <w:rPr>
          <w:color w:val="396230"/>
          <w:w w:val="105"/>
        </w:rPr>
        <w:t>Economy</w:t>
      </w:r>
    </w:p>
    <w:p>
      <w:pPr>
        <w:pStyle w:val="BodyText"/>
        <w:spacing w:line="256" w:lineRule="auto" w:before="52"/>
        <w:ind w:left="840" w:right="835"/>
        <w:jc w:val="both"/>
      </w:pPr>
      <w:r>
        <w:rPr/>
        <w:t>The</w:t>
      </w:r>
      <w:r>
        <w:rPr>
          <w:spacing w:val="-12"/>
        </w:rPr>
        <w:t> </w:t>
      </w:r>
      <w:r>
        <w:rPr>
          <w:i/>
        </w:rPr>
        <w:t>Loudoun</w:t>
      </w:r>
      <w:r>
        <w:rPr>
          <w:i/>
          <w:spacing w:val="-11"/>
        </w:rPr>
        <w:t> </w:t>
      </w:r>
      <w:r>
        <w:rPr>
          <w:i/>
        </w:rPr>
        <w:t>2040</w:t>
      </w:r>
      <w:r>
        <w:rPr>
          <w:i/>
          <w:spacing w:val="-9"/>
        </w:rPr>
        <w:t> </w:t>
      </w:r>
      <w:r>
        <w:rPr>
          <w:i/>
        </w:rPr>
        <w:t>General</w:t>
      </w:r>
      <w:r>
        <w:rPr>
          <w:i/>
          <w:spacing w:val="-10"/>
        </w:rPr>
        <w:t> </w:t>
      </w:r>
      <w:r>
        <w:rPr>
          <w:i/>
        </w:rPr>
        <w:t>Plan</w:t>
      </w:r>
      <w:r>
        <w:rPr>
          <w:i/>
          <w:spacing w:val="-10"/>
        </w:rPr>
        <w:t> </w:t>
      </w:r>
      <w:r>
        <w:rPr/>
        <w:t>acknowledges</w:t>
      </w:r>
      <w:r>
        <w:rPr>
          <w:spacing w:val="-11"/>
        </w:rPr>
        <w:t> </w:t>
      </w:r>
      <w:r>
        <w:rPr/>
        <w:t>that</w:t>
      </w:r>
      <w:r>
        <w:rPr>
          <w:spacing w:val="-9"/>
        </w:rPr>
        <w:t> </w:t>
      </w:r>
      <w:r>
        <w:rPr/>
        <w:t>local,</w:t>
      </w:r>
      <w:r>
        <w:rPr>
          <w:spacing w:val="-9"/>
        </w:rPr>
        <w:t> </w:t>
      </w:r>
      <w:r>
        <w:rPr/>
        <w:t>regional,</w:t>
      </w:r>
      <w:r>
        <w:rPr>
          <w:spacing w:val="-9"/>
        </w:rPr>
        <w:t> </w:t>
      </w:r>
      <w:r>
        <w:rPr/>
        <w:t>and</w:t>
      </w:r>
      <w:r>
        <w:rPr>
          <w:spacing w:val="-11"/>
        </w:rPr>
        <w:t> </w:t>
      </w:r>
      <w:r>
        <w:rPr/>
        <w:t>national</w:t>
      </w:r>
      <w:r>
        <w:rPr>
          <w:spacing w:val="-11"/>
        </w:rPr>
        <w:t> </w:t>
      </w:r>
      <w:r>
        <w:rPr/>
        <w:t>economic</w:t>
      </w:r>
      <w:r>
        <w:rPr>
          <w:spacing w:val="-10"/>
        </w:rPr>
        <w:t> </w:t>
      </w:r>
      <w:r>
        <w:rPr/>
        <w:t>factors have changed significantly in the last two decades, and includes new policies and strategies to continue Loudoun’s remarkable success as an economic leader in the region. Employment in Loudoun County increased nearly 77 percent from 2000 to 2015, adding over 67,000 new jobs in a 15-year period.</w:t>
      </w:r>
      <w:r>
        <w:rPr>
          <w:position w:val="9"/>
          <w:sz w:val="16"/>
        </w:rPr>
        <w:t>4 </w:t>
      </w:r>
      <w:r>
        <w:rPr/>
        <w:t>Momentum in Loudoun’s job base is influenced by activity in the surrounding region, proximity to Washington Dulles International Airport, a growing information and communications</w:t>
      </w:r>
      <w:r>
        <w:rPr>
          <w:spacing w:val="-6"/>
        </w:rPr>
        <w:t> </w:t>
      </w:r>
      <w:r>
        <w:rPr/>
        <w:t>sector,</w:t>
      </w:r>
      <w:r>
        <w:rPr>
          <w:spacing w:val="-3"/>
        </w:rPr>
        <w:t> </w:t>
      </w:r>
      <w:r>
        <w:rPr/>
        <w:t>agritourism,</w:t>
      </w:r>
      <w:r>
        <w:rPr>
          <w:spacing w:val="-6"/>
        </w:rPr>
        <w:t> </w:t>
      </w:r>
      <w:r>
        <w:rPr/>
        <w:t>and</w:t>
      </w:r>
      <w:r>
        <w:rPr>
          <w:spacing w:val="-3"/>
        </w:rPr>
        <w:t> </w:t>
      </w:r>
      <w:r>
        <w:rPr/>
        <w:t>a</w:t>
      </w:r>
      <w:r>
        <w:rPr>
          <w:spacing w:val="-7"/>
        </w:rPr>
        <w:t> </w:t>
      </w:r>
      <w:r>
        <w:rPr/>
        <w:t>robust</w:t>
      </w:r>
      <w:r>
        <w:rPr>
          <w:spacing w:val="-6"/>
        </w:rPr>
        <w:t> </w:t>
      </w:r>
      <w:r>
        <w:rPr/>
        <w:t>increase</w:t>
      </w:r>
      <w:r>
        <w:rPr>
          <w:spacing w:val="-7"/>
        </w:rPr>
        <w:t> </w:t>
      </w:r>
      <w:r>
        <w:rPr/>
        <w:t>in</w:t>
      </w:r>
      <w:r>
        <w:rPr>
          <w:spacing w:val="-6"/>
        </w:rPr>
        <w:t> </w:t>
      </w:r>
      <w:r>
        <w:rPr/>
        <w:t>households</w:t>
      </w:r>
      <w:r>
        <w:rPr>
          <w:spacing w:val="-6"/>
        </w:rPr>
        <w:t> </w:t>
      </w:r>
      <w:r>
        <w:rPr/>
        <w:t>requiring</w:t>
      </w:r>
      <w:r>
        <w:rPr>
          <w:spacing w:val="-7"/>
        </w:rPr>
        <w:t> </w:t>
      </w:r>
      <w:r>
        <w:rPr/>
        <w:t>a</w:t>
      </w:r>
      <w:r>
        <w:rPr>
          <w:spacing w:val="-4"/>
        </w:rPr>
        <w:t> </w:t>
      </w:r>
      <w:r>
        <w:rPr/>
        <w:t>wide</w:t>
      </w:r>
      <w:r>
        <w:rPr>
          <w:spacing w:val="-4"/>
        </w:rPr>
        <w:t> </w:t>
      </w:r>
      <w:r>
        <w:rPr/>
        <w:t>array</w:t>
      </w:r>
      <w:r>
        <w:rPr>
          <w:spacing w:val="-11"/>
        </w:rPr>
        <w:t> </w:t>
      </w:r>
      <w:r>
        <w:rPr/>
        <w:t>of services.</w:t>
      </w:r>
    </w:p>
    <w:p>
      <w:pPr>
        <w:pStyle w:val="BodyText"/>
        <w:spacing w:line="259" w:lineRule="auto" w:before="166"/>
        <w:ind w:left="840" w:right="836"/>
        <w:jc w:val="both"/>
      </w:pPr>
      <w:r>
        <w:rPr/>
        <w:t>Loudoun’s economy continues to diversify and </w:t>
      </w:r>
      <w:r>
        <w:rPr>
          <w:i/>
        </w:rPr>
        <w:t>Loudoun 2040 </w:t>
      </w:r>
      <w:r>
        <w:rPr/>
        <w:t>provides growth opportunities for this</w:t>
      </w:r>
      <w:r>
        <w:rPr>
          <w:spacing w:val="-17"/>
        </w:rPr>
        <w:t> </w:t>
      </w:r>
      <w:r>
        <w:rPr/>
        <w:t>evolving</w:t>
      </w:r>
      <w:r>
        <w:rPr>
          <w:spacing w:val="-19"/>
        </w:rPr>
        <w:t> </w:t>
      </w:r>
      <w:r>
        <w:rPr/>
        <w:t>economy.</w:t>
      </w:r>
      <w:r>
        <w:rPr>
          <w:spacing w:val="-16"/>
        </w:rPr>
        <w:t> </w:t>
      </w:r>
      <w:r>
        <w:rPr/>
        <w:t>Employment</w:t>
      </w:r>
      <w:r>
        <w:rPr>
          <w:spacing w:val="-16"/>
        </w:rPr>
        <w:t> </w:t>
      </w:r>
      <w:r>
        <w:rPr/>
        <w:t>uses</w:t>
      </w:r>
      <w:r>
        <w:rPr>
          <w:spacing w:val="-16"/>
        </w:rPr>
        <w:t> </w:t>
      </w:r>
      <w:r>
        <w:rPr/>
        <w:t>adjacent</w:t>
      </w:r>
      <w:r>
        <w:rPr>
          <w:spacing w:val="-14"/>
        </w:rPr>
        <w:t> </w:t>
      </w:r>
      <w:r>
        <w:rPr/>
        <w:t>to</w:t>
      </w:r>
      <w:r>
        <w:rPr>
          <w:spacing w:val="-16"/>
        </w:rPr>
        <w:t> </w:t>
      </w:r>
      <w:r>
        <w:rPr/>
        <w:t>the</w:t>
      </w:r>
      <w:r>
        <w:rPr>
          <w:spacing w:val="-17"/>
        </w:rPr>
        <w:t> </w:t>
      </w:r>
      <w:r>
        <w:rPr/>
        <w:t>future</w:t>
      </w:r>
      <w:r>
        <w:rPr>
          <w:spacing w:val="-17"/>
        </w:rPr>
        <w:t> </w:t>
      </w:r>
      <w:r>
        <w:rPr/>
        <w:t>Metrorail</w:t>
      </w:r>
      <w:r>
        <w:rPr>
          <w:spacing w:val="-16"/>
        </w:rPr>
        <w:t> </w:t>
      </w:r>
      <w:r>
        <w:rPr/>
        <w:t>Stations</w:t>
      </w:r>
      <w:r>
        <w:rPr>
          <w:spacing w:val="-16"/>
        </w:rPr>
        <w:t> </w:t>
      </w:r>
      <w:r>
        <w:rPr/>
        <w:t>will</w:t>
      </w:r>
      <w:r>
        <w:rPr>
          <w:spacing w:val="-16"/>
        </w:rPr>
        <w:t> </w:t>
      </w:r>
      <w:r>
        <w:rPr/>
        <w:t>also</w:t>
      </w:r>
      <w:r>
        <w:rPr>
          <w:spacing w:val="-16"/>
        </w:rPr>
        <w:t> </w:t>
      </w:r>
      <w:r>
        <w:rPr/>
        <w:t>present new opportunities to attract employers who seek to locate in dynamic, urban communities with access to mass</w:t>
      </w:r>
      <w:r>
        <w:rPr>
          <w:spacing w:val="-1"/>
        </w:rPr>
        <w:t> </w:t>
      </w:r>
      <w:r>
        <w:rPr/>
        <w:t>transit.</w:t>
      </w:r>
    </w:p>
    <w:p>
      <w:pPr>
        <w:pStyle w:val="Heading1"/>
      </w:pPr>
      <w:bookmarkStart w:name="_TOC_250002" w:id="4"/>
      <w:r>
        <w:rPr>
          <w:w w:val="95"/>
        </w:rPr>
        <w:t>Elements of Loudoun</w:t>
      </w:r>
      <w:r>
        <w:rPr>
          <w:spacing w:val="-65"/>
          <w:w w:val="95"/>
        </w:rPr>
        <w:t> </w:t>
      </w:r>
      <w:bookmarkEnd w:id="4"/>
      <w:r>
        <w:rPr>
          <w:w w:val="95"/>
        </w:rPr>
        <w:t>2040</w:t>
      </w:r>
    </w:p>
    <w:p>
      <w:pPr>
        <w:pStyle w:val="BodyText"/>
        <w:spacing w:line="259" w:lineRule="auto" w:before="25"/>
        <w:ind w:left="840" w:right="835"/>
        <w:jc w:val="both"/>
      </w:pPr>
      <w:r>
        <w:rPr/>
        <w:t>The</w:t>
      </w:r>
      <w:r>
        <w:rPr>
          <w:spacing w:val="-16"/>
        </w:rPr>
        <w:t> </w:t>
      </w:r>
      <w:r>
        <w:rPr>
          <w:i/>
        </w:rPr>
        <w:t>Loudoun</w:t>
      </w:r>
      <w:r>
        <w:rPr>
          <w:i/>
          <w:spacing w:val="-14"/>
        </w:rPr>
        <w:t> </w:t>
      </w:r>
      <w:r>
        <w:rPr>
          <w:i/>
        </w:rPr>
        <w:t>2040</w:t>
      </w:r>
      <w:r>
        <w:rPr>
          <w:i/>
          <w:spacing w:val="-14"/>
        </w:rPr>
        <w:t> </w:t>
      </w:r>
      <w:r>
        <w:rPr>
          <w:i/>
        </w:rPr>
        <w:t>General</w:t>
      </w:r>
      <w:r>
        <w:rPr>
          <w:i/>
          <w:spacing w:val="-14"/>
        </w:rPr>
        <w:t> </w:t>
      </w:r>
      <w:r>
        <w:rPr>
          <w:i/>
        </w:rPr>
        <w:t>Plan</w:t>
      </w:r>
      <w:r>
        <w:rPr>
          <w:i/>
          <w:spacing w:val="-13"/>
        </w:rPr>
        <w:t> </w:t>
      </w:r>
      <w:r>
        <w:rPr/>
        <w:t>begins</w:t>
      </w:r>
      <w:r>
        <w:rPr>
          <w:spacing w:val="-14"/>
        </w:rPr>
        <w:t> </w:t>
      </w:r>
      <w:r>
        <w:rPr/>
        <w:t>with</w:t>
      </w:r>
      <w:r>
        <w:rPr>
          <w:spacing w:val="-14"/>
        </w:rPr>
        <w:t> </w:t>
      </w:r>
      <w:r>
        <w:rPr/>
        <w:t>overarching</w:t>
      </w:r>
      <w:r>
        <w:rPr>
          <w:spacing w:val="-16"/>
        </w:rPr>
        <w:t> </w:t>
      </w:r>
      <w:r>
        <w:rPr/>
        <w:t>vision</w:t>
      </w:r>
      <w:r>
        <w:rPr>
          <w:spacing w:val="-14"/>
        </w:rPr>
        <w:t> </w:t>
      </w:r>
      <w:r>
        <w:rPr/>
        <w:t>and</w:t>
      </w:r>
      <w:r>
        <w:rPr>
          <w:spacing w:val="-14"/>
        </w:rPr>
        <w:t> </w:t>
      </w:r>
      <w:r>
        <w:rPr/>
        <w:t>goals;</w:t>
      </w:r>
      <w:r>
        <w:rPr>
          <w:spacing w:val="-11"/>
        </w:rPr>
        <w:t> </w:t>
      </w:r>
      <w:r>
        <w:rPr/>
        <w:t>then</w:t>
      </w:r>
      <w:r>
        <w:rPr>
          <w:spacing w:val="-15"/>
        </w:rPr>
        <w:t> </w:t>
      </w:r>
      <w:r>
        <w:rPr/>
        <w:t>sets</w:t>
      </w:r>
      <w:r>
        <w:rPr>
          <w:spacing w:val="-14"/>
        </w:rPr>
        <w:t> </w:t>
      </w:r>
      <w:r>
        <w:rPr/>
        <w:t>forth</w:t>
      </w:r>
      <w:r>
        <w:rPr>
          <w:spacing w:val="-14"/>
        </w:rPr>
        <w:t> </w:t>
      </w:r>
      <w:r>
        <w:rPr/>
        <w:t>policies, strategies, and actions for five elements: Land Use; Natural and Heritage Resources; Housing; Economic Development; and Fiscal Management and Public Infrastructure. An Implementation matrix is provided to prioritize and track the execution of the </w:t>
      </w:r>
      <w:r>
        <w:rPr>
          <w:i/>
        </w:rPr>
        <w:t>Loudoun 2040 General Plan </w:t>
      </w:r>
      <w:r>
        <w:rPr/>
        <w:t>action items. </w:t>
      </w:r>
      <w:r>
        <w:rPr>
          <w:spacing w:val="-3"/>
        </w:rPr>
        <w:t>In </w:t>
      </w:r>
      <w:r>
        <w:rPr/>
        <w:t>addition to this Introduction, the </w:t>
      </w:r>
      <w:r>
        <w:rPr>
          <w:i/>
        </w:rPr>
        <w:t>Loudoun 2040 General Plan </w:t>
      </w:r>
      <w:r>
        <w:rPr/>
        <w:t>includes chapters associated with each of the five elements and the Implementation</w:t>
      </w:r>
      <w:r>
        <w:rPr>
          <w:spacing w:val="-4"/>
        </w:rPr>
        <w:t> </w:t>
      </w:r>
      <w:r>
        <w:rPr/>
        <w:t>matrix:</w:t>
      </w:r>
    </w:p>
    <w:p>
      <w:pPr>
        <w:pStyle w:val="ListParagraph"/>
        <w:numPr>
          <w:ilvl w:val="0"/>
          <w:numId w:val="2"/>
        </w:numPr>
        <w:tabs>
          <w:tab w:pos="1561" w:val="left" w:leader="none"/>
        </w:tabs>
        <w:spacing w:line="259" w:lineRule="auto" w:before="161" w:after="0"/>
        <w:ind w:left="1560" w:right="836" w:hanging="360"/>
        <w:jc w:val="both"/>
        <w:rPr>
          <w:sz w:val="24"/>
        </w:rPr>
      </w:pPr>
      <w:r>
        <w:rPr>
          <w:i/>
          <w:sz w:val="24"/>
        </w:rPr>
        <w:t>Land Use</w:t>
      </w:r>
      <w:r>
        <w:rPr>
          <w:sz w:val="24"/>
        </w:rPr>
        <w:t>. Chapter 2 lays out the vision for Loudoun’s future land use, growth management, and built environment. It includes specific policy guidance for Quality Development, Infill and Redevelopment, and each geographic policy area. Place Types guide the intent, form, character, and anticipated land uses within each policy</w:t>
      </w:r>
      <w:r>
        <w:rPr>
          <w:spacing w:val="-9"/>
          <w:sz w:val="24"/>
        </w:rPr>
        <w:t> </w:t>
      </w:r>
      <w:r>
        <w:rPr>
          <w:sz w:val="24"/>
        </w:rPr>
        <w:t>area.</w:t>
      </w:r>
    </w:p>
    <w:p>
      <w:pPr>
        <w:pStyle w:val="ListParagraph"/>
        <w:numPr>
          <w:ilvl w:val="0"/>
          <w:numId w:val="2"/>
        </w:numPr>
        <w:tabs>
          <w:tab w:pos="1561" w:val="left" w:leader="none"/>
        </w:tabs>
        <w:spacing w:line="256" w:lineRule="auto" w:before="0" w:after="0"/>
        <w:ind w:left="1560" w:right="834" w:hanging="360"/>
        <w:jc w:val="both"/>
        <w:rPr>
          <w:sz w:val="24"/>
        </w:rPr>
      </w:pPr>
      <w:r>
        <w:rPr>
          <w:i/>
          <w:sz w:val="24"/>
        </w:rPr>
        <w:t>Natural and Heritage Resources</w:t>
      </w:r>
      <w:r>
        <w:rPr>
          <w:sz w:val="24"/>
        </w:rPr>
        <w:t>. Chapter 3 provides guidance for the protection, maintenance,</w:t>
      </w:r>
      <w:r>
        <w:rPr>
          <w:spacing w:val="12"/>
          <w:sz w:val="24"/>
        </w:rPr>
        <w:t> </w:t>
      </w:r>
      <w:r>
        <w:rPr>
          <w:sz w:val="24"/>
        </w:rPr>
        <w:t>and</w:t>
      </w:r>
      <w:r>
        <w:rPr>
          <w:spacing w:val="12"/>
          <w:sz w:val="24"/>
        </w:rPr>
        <w:t> </w:t>
      </w:r>
      <w:r>
        <w:rPr>
          <w:sz w:val="24"/>
        </w:rPr>
        <w:t>enhancement</w:t>
      </w:r>
      <w:r>
        <w:rPr>
          <w:spacing w:val="10"/>
          <w:sz w:val="24"/>
        </w:rPr>
        <w:t> </w:t>
      </w:r>
      <w:r>
        <w:rPr>
          <w:sz w:val="24"/>
        </w:rPr>
        <w:t>of</w:t>
      </w:r>
      <w:r>
        <w:rPr>
          <w:spacing w:val="10"/>
          <w:sz w:val="24"/>
        </w:rPr>
        <w:t> </w:t>
      </w:r>
      <w:r>
        <w:rPr>
          <w:sz w:val="24"/>
        </w:rPr>
        <w:t>the</w:t>
      </w:r>
      <w:r>
        <w:rPr>
          <w:spacing w:val="11"/>
          <w:sz w:val="24"/>
        </w:rPr>
        <w:t> </w:t>
      </w:r>
      <w:r>
        <w:rPr>
          <w:sz w:val="24"/>
        </w:rPr>
        <w:t>County’s</w:t>
      </w:r>
      <w:r>
        <w:rPr>
          <w:spacing w:val="11"/>
          <w:sz w:val="24"/>
        </w:rPr>
        <w:t> </w:t>
      </w:r>
      <w:r>
        <w:rPr>
          <w:sz w:val="24"/>
        </w:rPr>
        <w:t>abundant</w:t>
      </w:r>
      <w:r>
        <w:rPr>
          <w:spacing w:val="10"/>
          <w:sz w:val="24"/>
        </w:rPr>
        <w:t> </w:t>
      </w:r>
      <w:r>
        <w:rPr>
          <w:sz w:val="24"/>
        </w:rPr>
        <w:t>natural</w:t>
      </w:r>
      <w:r>
        <w:rPr>
          <w:spacing w:val="13"/>
          <w:sz w:val="24"/>
        </w:rPr>
        <w:t> </w:t>
      </w:r>
      <w:r>
        <w:rPr>
          <w:sz w:val="24"/>
        </w:rPr>
        <w:t>and</w:t>
      </w:r>
      <w:r>
        <w:rPr>
          <w:spacing w:val="10"/>
          <w:sz w:val="24"/>
        </w:rPr>
        <w:t> </w:t>
      </w:r>
      <w:r>
        <w:rPr>
          <w:sz w:val="24"/>
        </w:rPr>
        <w:t>heritage</w:t>
      </w:r>
      <w:r>
        <w:rPr>
          <w:spacing w:val="10"/>
          <w:sz w:val="24"/>
        </w:rPr>
        <w:t> </w:t>
      </w:r>
      <w:r>
        <w:rPr>
          <w:sz w:val="24"/>
        </w:rPr>
        <w:t>resources.</w:t>
      </w:r>
    </w:p>
    <w:p>
      <w:pPr>
        <w:pStyle w:val="BodyText"/>
        <w:spacing w:before="11"/>
        <w:rPr>
          <w:sz w:val="26"/>
        </w:rPr>
      </w:pPr>
      <w:r>
        <w:rPr/>
        <w:pict>
          <v:line style="position:absolute;mso-position-horizontal-relative:page;mso-position-vertical-relative:paragraph;z-index:1360;mso-wrap-distance-left:0;mso-wrap-distance-right:0" from="72.024002pt,17.764767pt" to="216.044002pt,17.764767pt" stroked="true" strokeweight=".599980pt" strokecolor="#000000">
            <v:stroke dashstyle="solid"/>
            <w10:wrap type="topAndBottom"/>
          </v:line>
        </w:pict>
      </w:r>
    </w:p>
    <w:p>
      <w:pPr>
        <w:spacing w:line="233" w:lineRule="exact" w:before="70"/>
        <w:ind w:left="840" w:right="0" w:firstLine="0"/>
        <w:jc w:val="left"/>
        <w:rPr>
          <w:sz w:val="20"/>
        </w:rPr>
      </w:pPr>
      <w:r>
        <w:rPr>
          <w:position w:val="7"/>
          <w:sz w:val="13"/>
        </w:rPr>
        <w:t>3 </w:t>
      </w:r>
      <w:r>
        <w:rPr>
          <w:sz w:val="20"/>
        </w:rPr>
        <w:t>Metropolitan Washington Airport Authority, 2018</w:t>
      </w:r>
    </w:p>
    <w:p>
      <w:pPr>
        <w:spacing w:line="233" w:lineRule="exact" w:before="0"/>
        <w:ind w:left="840" w:right="0" w:firstLine="0"/>
        <w:jc w:val="left"/>
        <w:rPr>
          <w:sz w:val="20"/>
        </w:rPr>
      </w:pPr>
      <w:r>
        <w:rPr>
          <w:position w:val="7"/>
          <w:sz w:val="13"/>
        </w:rPr>
        <w:t>4 </w:t>
      </w:r>
      <w:r>
        <w:rPr>
          <w:sz w:val="20"/>
        </w:rPr>
        <w:t>Loudoun County Department of Economic Development, 2018</w:t>
      </w:r>
    </w:p>
    <w:p>
      <w:pPr>
        <w:spacing w:after="0" w:line="233" w:lineRule="exact"/>
        <w:jc w:val="left"/>
        <w:rPr>
          <w:sz w:val="20"/>
        </w:rPr>
        <w:sectPr>
          <w:footerReference w:type="default" r:id="rId23"/>
          <w:pgSz w:w="12240" w:h="15840"/>
          <w:pgMar w:footer="1016" w:header="719" w:top="920" w:bottom="1200" w:left="600" w:right="600"/>
          <w:pgNumType w:start="8"/>
        </w:sectPr>
      </w:pPr>
    </w:p>
    <w:p>
      <w:pPr>
        <w:pStyle w:val="BodyText"/>
        <w:rPr>
          <w:sz w:val="20"/>
        </w:rPr>
      </w:pPr>
    </w:p>
    <w:p>
      <w:pPr>
        <w:pStyle w:val="BodyText"/>
        <w:rPr>
          <w:sz w:val="23"/>
        </w:rPr>
      </w:pPr>
    </w:p>
    <w:p>
      <w:pPr>
        <w:pStyle w:val="BodyText"/>
        <w:spacing w:line="259" w:lineRule="auto"/>
        <w:ind w:left="1560" w:right="840"/>
        <w:jc w:val="both"/>
      </w:pPr>
      <w:r>
        <w:rPr/>
        <w:t>The policy approach is applicable at multiple geographic scales, from initiatives that may affect these resources countywide, to management of specific watersheds and waterways, to site-level development considerations.</w:t>
      </w:r>
    </w:p>
    <w:p>
      <w:pPr>
        <w:pStyle w:val="ListParagraph"/>
        <w:numPr>
          <w:ilvl w:val="0"/>
          <w:numId w:val="2"/>
        </w:numPr>
        <w:tabs>
          <w:tab w:pos="1561" w:val="left" w:leader="none"/>
        </w:tabs>
        <w:spacing w:line="259" w:lineRule="auto" w:before="0" w:after="0"/>
        <w:ind w:left="1560" w:right="843" w:hanging="360"/>
        <w:jc w:val="both"/>
        <w:rPr>
          <w:sz w:val="24"/>
        </w:rPr>
      </w:pPr>
      <w:r>
        <w:rPr>
          <w:i/>
          <w:sz w:val="24"/>
        </w:rPr>
        <w:t>Housing</w:t>
      </w:r>
      <w:r>
        <w:rPr>
          <w:sz w:val="24"/>
        </w:rPr>
        <w:t>. Chapter 4 analyzes the current and anticipated housing environment in</w:t>
      </w:r>
      <w:r>
        <w:rPr>
          <w:spacing w:val="-13"/>
          <w:sz w:val="24"/>
        </w:rPr>
        <w:t> </w:t>
      </w:r>
      <w:r>
        <w:rPr>
          <w:sz w:val="24"/>
        </w:rPr>
        <w:t>Loudoun County and includes policies aimed at ensuring the provision of a full housing continuum for the varied lifestyles, households, ages, cultures, market preferences, and abilities of Loudoun’s</w:t>
      </w:r>
      <w:r>
        <w:rPr>
          <w:spacing w:val="0"/>
          <w:sz w:val="24"/>
        </w:rPr>
        <w:t> </w:t>
      </w:r>
      <w:r>
        <w:rPr>
          <w:sz w:val="24"/>
        </w:rPr>
        <w:t>residents.</w:t>
      </w:r>
    </w:p>
    <w:p>
      <w:pPr>
        <w:pStyle w:val="ListParagraph"/>
        <w:numPr>
          <w:ilvl w:val="0"/>
          <w:numId w:val="2"/>
        </w:numPr>
        <w:tabs>
          <w:tab w:pos="1561" w:val="left" w:leader="none"/>
        </w:tabs>
        <w:spacing w:line="259" w:lineRule="auto" w:before="0" w:after="0"/>
        <w:ind w:left="1560" w:right="834" w:hanging="360"/>
        <w:jc w:val="both"/>
        <w:rPr>
          <w:sz w:val="24"/>
        </w:rPr>
      </w:pPr>
      <w:r>
        <w:rPr/>
        <w:pict>
          <v:shape style="position:absolute;margin-left:90.066002pt;margin-top:9.6744pt;width:395.3pt;height:419pt;mso-position-horizontal-relative:page;mso-position-vertical-relative:paragraph;z-index:-17704" coordorigin="1801,193" coordsize="7906,8380" path="m4498,7457l4492,7384,4477,7306,4455,7223,4432,7154,4402,7082,4367,7007,4325,6929,4276,6848,4236,6789,4200,6738,4200,7424,4197,7480,4185,7537,4167,7594,4138,7654,4097,7717,4044,7783,3979,7852,3674,8158,2216,6700,2517,6399,2598,6323,2672,6263,2740,6220,2801,6193,2868,6179,2941,6175,3020,6181,3105,6199,3195,6228,3255,6254,3317,6286,3380,6325,3446,6370,3514,6422,3584,6480,3656,6545,3729,6616,3789,6677,3844,6738,3896,6797,3943,6854,3986,6911,4024,6966,4059,7020,4101,7095,4136,7167,4163,7237,4183,7304,4196,7368,4200,7424,4200,6738,4194,6729,4148,6669,4098,6609,4045,6548,3989,6486,3929,6425,3865,6363,3801,6304,3737,6249,3673,6198,3643,6175,3609,6150,3546,6105,3482,6064,3419,6026,3346,5988,3274,5956,3203,5929,3132,5907,3062,5890,2992,5878,2923,5870,2850,5869,2779,5876,2709,5891,2642,5913,2577,5944,2528,5972,2476,6009,2420,6055,2359,6109,2294,6171,1801,6664,3710,8573,4124,8158,4226,8056,4287,7991,4341,7926,4386,7860,4424,7793,4454,7727,4476,7660,4491,7593,4498,7526,4498,7457m6418,5864l6056,5736,5650,5593,5561,5564,5475,5540,5393,5521,5364,5516,5314,5507,5239,5497,5193,5495,5143,5498,5089,5505,5030,5516,5074,5446,5109,5377,5136,5308,5154,5239,5164,5170,5165,5102,5157,5034,5139,4957,5111,4880,5075,4806,5030,4733,4976,4662,4956,4639,4913,4593,4872,4555,4872,5113,4868,5168,4854,5223,4830,5280,4794,5338,4747,5399,4687,5463,4413,5737,4280,5870,3649,5239,4102,4786,4166,4729,4229,4685,4293,4656,4358,4641,4422,4639,4501,4655,4577,4685,4649,4729,4718,4789,4761,4836,4797,4887,4827,4941,4851,4997,4867,5056,4872,5113,4872,4555,4849,4534,4782,4482,4713,4436,4641,4398,4566,4365,4474,4337,4386,4324,4303,4326,4225,4342,4163,4367,4098,4404,4030,4452,3958,4511,3883,4582,3248,5217,5157,7125,5346,6936,4499,6089,4718,5870,4753,5835,4783,5808,4810,5787,4833,5772,4863,5759,4896,5748,4932,5741,4971,5736,5014,5737,5066,5742,5125,5752,5194,5768,5256,5786,5328,5807,5407,5832,5496,5861,6180,6102,6418,5864m7780,4502l7415,4307,6555,3853,6555,4159,6070,4645,5989,4502,5748,4071,5708,3999,5668,3928,5629,3862,5590,3798,5550,3734,5509,3671,5467,3608,5424,3547,5380,3486,5436,3522,5498,3560,5564,3600,5635,3642,5792,3732,6555,4159,6555,3853,5862,3486,5286,3179,5082,3383,5277,3734,5316,3804,5701,4502,6168,5351,6441,5841,6642,5640,6565,5507,6298,5039,6221,4905,6481,4645,6820,4307,7565,4718,7780,4502m8131,4151l7264,3284,7489,3059,7936,2612,7711,2387,7039,3059,6448,2468,7224,1692,6999,1467,6033,2432,7941,4341,8131,4151m9707,2575l8213,1082,8024,892,8497,419,8272,193,7138,1328,7363,1553,7834,1082,9517,2765,9707,2575e" filled="true" fillcolor="#c0c0c0" stroked="false">
            <v:path arrowok="t"/>
            <v:fill opacity="32896f" type="solid"/>
            <w10:wrap type="none"/>
          </v:shape>
        </w:pict>
      </w:r>
      <w:r>
        <w:rPr>
          <w:i/>
          <w:sz w:val="24"/>
        </w:rPr>
        <w:t>Economic</w:t>
      </w:r>
      <w:r>
        <w:rPr>
          <w:i/>
          <w:spacing w:val="-11"/>
          <w:sz w:val="24"/>
        </w:rPr>
        <w:t> </w:t>
      </w:r>
      <w:r>
        <w:rPr>
          <w:i/>
          <w:sz w:val="24"/>
        </w:rPr>
        <w:t>Development</w:t>
      </w:r>
      <w:r>
        <w:rPr>
          <w:sz w:val="24"/>
        </w:rPr>
        <w:t>.</w:t>
      </w:r>
      <w:r>
        <w:rPr>
          <w:spacing w:val="-10"/>
          <w:sz w:val="24"/>
        </w:rPr>
        <w:t> </w:t>
      </w:r>
      <w:r>
        <w:rPr>
          <w:sz w:val="24"/>
        </w:rPr>
        <w:t>Chapter</w:t>
      </w:r>
      <w:r>
        <w:rPr>
          <w:spacing w:val="-11"/>
          <w:sz w:val="24"/>
        </w:rPr>
        <w:t> </w:t>
      </w:r>
      <w:r>
        <w:rPr>
          <w:sz w:val="24"/>
        </w:rPr>
        <w:t>5</w:t>
      </w:r>
      <w:r>
        <w:rPr>
          <w:spacing w:val="-9"/>
          <w:sz w:val="24"/>
        </w:rPr>
        <w:t> </w:t>
      </w:r>
      <w:r>
        <w:rPr>
          <w:sz w:val="24"/>
        </w:rPr>
        <w:t>examines</w:t>
      </w:r>
      <w:r>
        <w:rPr>
          <w:spacing w:val="-9"/>
          <w:sz w:val="24"/>
        </w:rPr>
        <w:t> </w:t>
      </w:r>
      <w:r>
        <w:rPr>
          <w:sz w:val="24"/>
        </w:rPr>
        <w:t>the</w:t>
      </w:r>
      <w:r>
        <w:rPr>
          <w:spacing w:val="-14"/>
          <w:sz w:val="24"/>
        </w:rPr>
        <w:t> </w:t>
      </w:r>
      <w:r>
        <w:rPr>
          <w:sz w:val="24"/>
        </w:rPr>
        <w:t>many</w:t>
      </w:r>
      <w:r>
        <w:rPr>
          <w:spacing w:val="-13"/>
          <w:sz w:val="24"/>
        </w:rPr>
        <w:t> </w:t>
      </w:r>
      <w:r>
        <w:rPr>
          <w:sz w:val="24"/>
        </w:rPr>
        <w:t>challenges</w:t>
      </w:r>
      <w:r>
        <w:rPr>
          <w:spacing w:val="-9"/>
          <w:sz w:val="24"/>
        </w:rPr>
        <w:t> </w:t>
      </w:r>
      <w:r>
        <w:rPr>
          <w:sz w:val="24"/>
        </w:rPr>
        <w:t>and</w:t>
      </w:r>
      <w:r>
        <w:rPr>
          <w:spacing w:val="-10"/>
          <w:sz w:val="24"/>
        </w:rPr>
        <w:t> </w:t>
      </w:r>
      <w:r>
        <w:rPr>
          <w:sz w:val="24"/>
        </w:rPr>
        <w:t>opportunities</w:t>
      </w:r>
      <w:r>
        <w:rPr>
          <w:spacing w:val="-9"/>
          <w:sz w:val="24"/>
        </w:rPr>
        <w:t> </w:t>
      </w:r>
      <w:r>
        <w:rPr>
          <w:sz w:val="24"/>
        </w:rPr>
        <w:t>facing Loudoun County in maintaining and advancing the County’s diverse and globally competitive economy. The policies focus on targeted industries, investments, and County initiatives that contribute to Loudoun’s world-class business environment and ties in land use considerations to sustain a diverse, adaptable, and dynamic County</w:t>
      </w:r>
      <w:r>
        <w:rPr>
          <w:spacing w:val="-3"/>
          <w:sz w:val="24"/>
        </w:rPr>
        <w:t> </w:t>
      </w:r>
      <w:r>
        <w:rPr>
          <w:sz w:val="24"/>
        </w:rPr>
        <w:t>economy.</w:t>
      </w:r>
    </w:p>
    <w:p>
      <w:pPr>
        <w:pStyle w:val="ListParagraph"/>
        <w:numPr>
          <w:ilvl w:val="0"/>
          <w:numId w:val="2"/>
        </w:numPr>
        <w:tabs>
          <w:tab w:pos="1561" w:val="left" w:leader="none"/>
        </w:tabs>
        <w:spacing w:line="259" w:lineRule="auto" w:before="0" w:after="0"/>
        <w:ind w:left="1560" w:right="834" w:hanging="360"/>
        <w:jc w:val="both"/>
        <w:rPr>
          <w:sz w:val="24"/>
        </w:rPr>
      </w:pPr>
      <w:r>
        <w:rPr>
          <w:i/>
          <w:sz w:val="24"/>
        </w:rPr>
        <w:t>Fiscal Management and Public Infrastructure</w:t>
      </w:r>
      <w:r>
        <w:rPr>
          <w:sz w:val="24"/>
        </w:rPr>
        <w:t>. Chapter 6 acknowledges the interrelatedness of land use, growth management, fiscal management, and facilities planning. The policy approach ensures the provision of public facilities and utilities,</w:t>
      </w:r>
      <w:r>
        <w:rPr>
          <w:spacing w:val="-23"/>
          <w:sz w:val="24"/>
        </w:rPr>
        <w:t> </w:t>
      </w:r>
      <w:r>
        <w:rPr>
          <w:sz w:val="24"/>
        </w:rPr>
        <w:t>high- quality telecommunications networks, and passive and active recreational amenities in accordance with the County’s larger land use and fiscal</w:t>
      </w:r>
      <w:r>
        <w:rPr>
          <w:spacing w:val="-5"/>
          <w:sz w:val="24"/>
        </w:rPr>
        <w:t> </w:t>
      </w:r>
      <w:r>
        <w:rPr>
          <w:sz w:val="24"/>
        </w:rPr>
        <w:t>policies.</w:t>
      </w:r>
    </w:p>
    <w:p>
      <w:pPr>
        <w:pStyle w:val="ListParagraph"/>
        <w:numPr>
          <w:ilvl w:val="0"/>
          <w:numId w:val="2"/>
        </w:numPr>
        <w:tabs>
          <w:tab w:pos="1561" w:val="left" w:leader="none"/>
        </w:tabs>
        <w:spacing w:line="256" w:lineRule="auto" w:before="0" w:after="0"/>
        <w:ind w:left="1560" w:right="834" w:hanging="360"/>
        <w:jc w:val="both"/>
        <w:rPr>
          <w:sz w:val="24"/>
        </w:rPr>
      </w:pPr>
      <w:r>
        <w:rPr>
          <w:i/>
          <w:sz w:val="24"/>
        </w:rPr>
        <w:t>Implementation. </w:t>
      </w:r>
      <w:r>
        <w:rPr>
          <w:sz w:val="24"/>
        </w:rPr>
        <w:t>Chapter 7 compiles the individual Policies, Strategies, and Actions described throughout the </w:t>
      </w:r>
      <w:r>
        <w:rPr>
          <w:i/>
          <w:sz w:val="24"/>
        </w:rPr>
        <w:t>Loudoun 2040 General Plan </w:t>
      </w:r>
      <w:r>
        <w:rPr>
          <w:sz w:val="24"/>
        </w:rPr>
        <w:t>and provides an Implementation matrix that prioritizes, assigns responsibility, and tracks progress for each action</w:t>
      </w:r>
      <w:r>
        <w:rPr>
          <w:spacing w:val="-8"/>
          <w:sz w:val="24"/>
        </w:rPr>
        <w:t> </w:t>
      </w:r>
      <w:r>
        <w:rPr>
          <w:sz w:val="24"/>
        </w:rPr>
        <w:t>item.</w:t>
      </w:r>
    </w:p>
    <w:p>
      <w:pPr>
        <w:pStyle w:val="BodyText"/>
        <w:spacing w:before="153"/>
        <w:ind w:left="840"/>
      </w:pPr>
      <w:r>
        <w:rPr/>
        <w:t>In addition to the Place Types in Chapter 2, </w:t>
      </w:r>
      <w:r>
        <w:rPr>
          <w:i/>
        </w:rPr>
        <w:t>Loudoun 2040’s </w:t>
      </w:r>
      <w:r>
        <w:rPr/>
        <w:t>guidance is established through:</w:t>
      </w:r>
    </w:p>
    <w:p>
      <w:pPr>
        <w:pStyle w:val="ListParagraph"/>
        <w:numPr>
          <w:ilvl w:val="0"/>
          <w:numId w:val="2"/>
        </w:numPr>
        <w:tabs>
          <w:tab w:pos="1561" w:val="left" w:leader="none"/>
        </w:tabs>
        <w:spacing w:line="259" w:lineRule="auto" w:before="2" w:after="0"/>
        <w:ind w:left="1560" w:right="836" w:hanging="360"/>
        <w:jc w:val="both"/>
        <w:rPr>
          <w:sz w:val="24"/>
        </w:rPr>
      </w:pPr>
      <w:r>
        <w:rPr>
          <w:sz w:val="24"/>
        </w:rPr>
        <w:t>Policy statements for each element that provide the approach to decision-making for specific topics or</w:t>
      </w:r>
      <w:r>
        <w:rPr>
          <w:spacing w:val="-2"/>
          <w:sz w:val="24"/>
        </w:rPr>
        <w:t> </w:t>
      </w:r>
      <w:r>
        <w:rPr>
          <w:sz w:val="24"/>
        </w:rPr>
        <w:t>issues,</w:t>
      </w:r>
    </w:p>
    <w:p>
      <w:pPr>
        <w:pStyle w:val="ListParagraph"/>
        <w:numPr>
          <w:ilvl w:val="0"/>
          <w:numId w:val="2"/>
        </w:numPr>
        <w:tabs>
          <w:tab w:pos="1561" w:val="left" w:leader="none"/>
        </w:tabs>
        <w:spacing w:line="256" w:lineRule="auto" w:before="0" w:after="0"/>
        <w:ind w:left="1560" w:right="836" w:hanging="360"/>
        <w:jc w:val="both"/>
        <w:rPr>
          <w:sz w:val="24"/>
        </w:rPr>
      </w:pPr>
      <w:r>
        <w:rPr>
          <w:sz w:val="24"/>
        </w:rPr>
        <w:t>Strategies providing more focused, measurable guidance for decision-making relative to each policy,</w:t>
      </w:r>
      <w:r>
        <w:rPr>
          <w:spacing w:val="0"/>
          <w:sz w:val="24"/>
        </w:rPr>
        <w:t> </w:t>
      </w:r>
      <w:r>
        <w:rPr>
          <w:sz w:val="24"/>
        </w:rPr>
        <w:t>and</w:t>
      </w:r>
    </w:p>
    <w:p>
      <w:pPr>
        <w:pStyle w:val="ListParagraph"/>
        <w:numPr>
          <w:ilvl w:val="0"/>
          <w:numId w:val="2"/>
        </w:numPr>
        <w:tabs>
          <w:tab w:pos="1560" w:val="left" w:leader="none"/>
          <w:tab w:pos="1561" w:val="left" w:leader="none"/>
        </w:tabs>
        <w:spacing w:line="240" w:lineRule="auto" w:before="1" w:after="0"/>
        <w:ind w:left="1560" w:right="0" w:hanging="360"/>
        <w:jc w:val="left"/>
        <w:rPr>
          <w:sz w:val="24"/>
        </w:rPr>
      </w:pPr>
      <w:r>
        <w:rPr>
          <w:sz w:val="24"/>
        </w:rPr>
        <w:t>Actions</w:t>
      </w:r>
      <w:r>
        <w:rPr>
          <w:spacing w:val="25"/>
          <w:sz w:val="24"/>
        </w:rPr>
        <w:t> </w:t>
      </w:r>
      <w:r>
        <w:rPr>
          <w:sz w:val="24"/>
        </w:rPr>
        <w:t>that</w:t>
      </w:r>
      <w:r>
        <w:rPr>
          <w:spacing w:val="25"/>
          <w:sz w:val="24"/>
        </w:rPr>
        <w:t> </w:t>
      </w:r>
      <w:r>
        <w:rPr>
          <w:sz w:val="24"/>
        </w:rPr>
        <w:t>target</w:t>
      </w:r>
      <w:r>
        <w:rPr>
          <w:spacing w:val="25"/>
          <w:sz w:val="24"/>
        </w:rPr>
        <w:t> </w:t>
      </w:r>
      <w:r>
        <w:rPr>
          <w:sz w:val="24"/>
        </w:rPr>
        <w:t>specific</w:t>
      </w:r>
      <w:r>
        <w:rPr>
          <w:spacing w:val="22"/>
          <w:sz w:val="24"/>
        </w:rPr>
        <w:t> </w:t>
      </w:r>
      <w:r>
        <w:rPr>
          <w:sz w:val="24"/>
        </w:rPr>
        <w:t>steps</w:t>
      </w:r>
      <w:r>
        <w:rPr>
          <w:spacing w:val="26"/>
          <w:sz w:val="24"/>
        </w:rPr>
        <w:t> </w:t>
      </w:r>
      <w:r>
        <w:rPr>
          <w:sz w:val="24"/>
        </w:rPr>
        <w:t>to</w:t>
      </w:r>
      <w:r>
        <w:rPr>
          <w:spacing w:val="25"/>
          <w:sz w:val="24"/>
        </w:rPr>
        <w:t> </w:t>
      </w:r>
      <w:r>
        <w:rPr>
          <w:sz w:val="24"/>
        </w:rPr>
        <w:t>realize</w:t>
      </w:r>
      <w:r>
        <w:rPr>
          <w:spacing w:val="25"/>
          <w:sz w:val="24"/>
        </w:rPr>
        <w:t> </w:t>
      </w:r>
      <w:r>
        <w:rPr>
          <w:sz w:val="24"/>
        </w:rPr>
        <w:t>the</w:t>
      </w:r>
      <w:r>
        <w:rPr>
          <w:spacing w:val="23"/>
          <w:sz w:val="24"/>
        </w:rPr>
        <w:t> </w:t>
      </w:r>
      <w:r>
        <w:rPr>
          <w:sz w:val="24"/>
        </w:rPr>
        <w:t>Policies</w:t>
      </w:r>
      <w:r>
        <w:rPr>
          <w:spacing w:val="23"/>
          <w:sz w:val="24"/>
        </w:rPr>
        <w:t> </w:t>
      </w:r>
      <w:r>
        <w:rPr>
          <w:sz w:val="24"/>
        </w:rPr>
        <w:t>and</w:t>
      </w:r>
      <w:r>
        <w:rPr>
          <w:spacing w:val="25"/>
          <w:sz w:val="24"/>
        </w:rPr>
        <w:t> </w:t>
      </w:r>
      <w:r>
        <w:rPr>
          <w:sz w:val="24"/>
        </w:rPr>
        <w:t>Strategies</w:t>
      </w:r>
      <w:r>
        <w:rPr>
          <w:spacing w:val="28"/>
          <w:sz w:val="24"/>
        </w:rPr>
        <w:t> </w:t>
      </w:r>
      <w:r>
        <w:rPr>
          <w:sz w:val="24"/>
        </w:rPr>
        <w:t>and</w:t>
      </w:r>
      <w:r>
        <w:rPr>
          <w:spacing w:val="25"/>
          <w:sz w:val="24"/>
        </w:rPr>
        <w:t> </w:t>
      </w:r>
      <w:r>
        <w:rPr>
          <w:sz w:val="24"/>
        </w:rPr>
        <w:t>intent</w:t>
      </w:r>
      <w:r>
        <w:rPr>
          <w:spacing w:val="25"/>
          <w:sz w:val="24"/>
        </w:rPr>
        <w:t> </w:t>
      </w:r>
      <w:r>
        <w:rPr>
          <w:sz w:val="24"/>
        </w:rPr>
        <w:t>of</w:t>
      </w:r>
      <w:r>
        <w:rPr>
          <w:spacing w:val="23"/>
          <w:sz w:val="24"/>
        </w:rPr>
        <w:t> </w:t>
      </w:r>
      <w:r>
        <w:rPr>
          <w:sz w:val="24"/>
        </w:rPr>
        <w:t>the</w:t>
      </w:r>
    </w:p>
    <w:p>
      <w:pPr>
        <w:spacing w:before="18"/>
        <w:ind w:left="1560" w:right="0" w:firstLine="0"/>
        <w:jc w:val="left"/>
        <w:rPr>
          <w:sz w:val="24"/>
        </w:rPr>
      </w:pPr>
      <w:r>
        <w:rPr>
          <w:i/>
          <w:sz w:val="24"/>
        </w:rPr>
        <w:t>Loudoun 2040 General Plan</w:t>
      </w:r>
      <w:r>
        <w:rPr>
          <w:sz w:val="24"/>
        </w:rPr>
        <w:t>.</w:t>
      </w:r>
    </w:p>
    <w:p>
      <w:pPr>
        <w:pStyle w:val="BodyText"/>
        <w:spacing w:line="259" w:lineRule="auto" w:before="185"/>
        <w:ind w:left="840" w:right="839"/>
        <w:jc w:val="both"/>
      </w:pPr>
      <w:r>
        <w:rPr/>
        <w:t>The five elements of the </w:t>
      </w:r>
      <w:r>
        <w:rPr>
          <w:i/>
        </w:rPr>
        <w:t>Loudoun 2040 General Plan </w:t>
      </w:r>
      <w:r>
        <w:rPr/>
        <w:t>are interrelated and complementary, and Policies, Strategies, and Actions from multiple elements may apply when evaluating individual proposals or initiatives. The Policies, Strategies, and Actions are organized hierarchically; however, each category carries equal weight. As such, Strategies may apply to different Policies and Actions to different Strategies than those under which they are nested.</w:t>
      </w:r>
    </w:p>
    <w:p>
      <w:pPr>
        <w:pStyle w:val="Heading1"/>
        <w:spacing w:before="167"/>
        <w:jc w:val="left"/>
      </w:pPr>
      <w:bookmarkStart w:name="_TOC_250001" w:id="5"/>
      <w:r>
        <w:rPr>
          <w:w w:val="95"/>
        </w:rPr>
        <w:t>Policy and Regulatory</w:t>
      </w:r>
      <w:r>
        <w:rPr>
          <w:spacing w:val="-62"/>
          <w:w w:val="95"/>
        </w:rPr>
        <w:t> </w:t>
      </w:r>
      <w:bookmarkEnd w:id="5"/>
      <w:r>
        <w:rPr>
          <w:w w:val="95"/>
        </w:rPr>
        <w:t>Context</w:t>
      </w:r>
    </w:p>
    <w:p>
      <w:pPr>
        <w:pStyle w:val="Heading2"/>
        <w:spacing w:before="40"/>
      </w:pPr>
      <w:r>
        <w:rPr>
          <w:color w:val="396230"/>
        </w:rPr>
        <w:t>Statutory Basis for the Comprehensive Plan</w:t>
      </w:r>
    </w:p>
    <w:p>
      <w:pPr>
        <w:pStyle w:val="BodyText"/>
        <w:spacing w:before="50"/>
        <w:ind w:left="840" w:right="835"/>
        <w:jc w:val="both"/>
      </w:pPr>
      <w:r>
        <w:rPr/>
        <w:t>The</w:t>
      </w:r>
      <w:r>
        <w:rPr>
          <w:spacing w:val="-14"/>
        </w:rPr>
        <w:t> </w:t>
      </w:r>
      <w:r>
        <w:rPr/>
        <w:t>basis</w:t>
      </w:r>
      <w:r>
        <w:rPr>
          <w:spacing w:val="-9"/>
        </w:rPr>
        <w:t> </w:t>
      </w:r>
      <w:r>
        <w:rPr/>
        <w:t>for</w:t>
      </w:r>
      <w:r>
        <w:rPr>
          <w:spacing w:val="-14"/>
        </w:rPr>
        <w:t> </w:t>
      </w:r>
      <w:r>
        <w:rPr/>
        <w:t>the</w:t>
      </w:r>
      <w:r>
        <w:rPr>
          <w:spacing w:val="-13"/>
        </w:rPr>
        <w:t> </w:t>
      </w:r>
      <w:r>
        <w:rPr>
          <w:i/>
        </w:rPr>
        <w:t>Loudoun</w:t>
      </w:r>
      <w:r>
        <w:rPr>
          <w:i/>
          <w:spacing w:val="-12"/>
        </w:rPr>
        <w:t> </w:t>
      </w:r>
      <w:r>
        <w:rPr>
          <w:i/>
        </w:rPr>
        <w:t>2040</w:t>
      </w:r>
      <w:r>
        <w:rPr>
          <w:i/>
          <w:spacing w:val="-12"/>
        </w:rPr>
        <w:t> </w:t>
      </w:r>
      <w:r>
        <w:rPr>
          <w:i/>
        </w:rPr>
        <w:t>Comprehensive</w:t>
      </w:r>
      <w:r>
        <w:rPr>
          <w:i/>
          <w:spacing w:val="-13"/>
        </w:rPr>
        <w:t> </w:t>
      </w:r>
      <w:r>
        <w:rPr>
          <w:i/>
        </w:rPr>
        <w:t>Plan</w:t>
      </w:r>
      <w:r>
        <w:rPr>
          <w:i/>
          <w:spacing w:val="-10"/>
        </w:rPr>
        <w:t> </w:t>
      </w:r>
      <w:r>
        <w:rPr/>
        <w:t>is</w:t>
      </w:r>
      <w:r>
        <w:rPr>
          <w:spacing w:val="-12"/>
        </w:rPr>
        <w:t> </w:t>
      </w:r>
      <w:r>
        <w:rPr/>
        <w:t>rooted</w:t>
      </w:r>
      <w:r>
        <w:rPr>
          <w:spacing w:val="-12"/>
        </w:rPr>
        <w:t> </w:t>
      </w:r>
      <w:r>
        <w:rPr/>
        <w:t>in</w:t>
      </w:r>
      <w:r>
        <w:rPr>
          <w:spacing w:val="-10"/>
        </w:rPr>
        <w:t> </w:t>
      </w:r>
      <w:r>
        <w:rPr/>
        <w:t>the</w:t>
      </w:r>
      <w:r>
        <w:rPr>
          <w:spacing w:val="-13"/>
        </w:rPr>
        <w:t> </w:t>
      </w:r>
      <w:r>
        <w:rPr/>
        <w:t>Code</w:t>
      </w:r>
      <w:r>
        <w:rPr>
          <w:spacing w:val="-11"/>
        </w:rPr>
        <w:t> </w:t>
      </w:r>
      <w:r>
        <w:rPr/>
        <w:t>of</w:t>
      </w:r>
      <w:r>
        <w:rPr>
          <w:spacing w:val="-13"/>
        </w:rPr>
        <w:t> </w:t>
      </w:r>
      <w:r>
        <w:rPr/>
        <w:t>Virginia</w:t>
      </w:r>
      <w:r>
        <w:rPr>
          <w:spacing w:val="-11"/>
        </w:rPr>
        <w:t> </w:t>
      </w:r>
      <w:r>
        <w:rPr/>
        <w:t>§15.2-2223. The County’s Planning Commission is responsible for preparing and recommending elements of the County’s Comprehensive Plan to the Board of Supervisors, which adopts the Comprehensive Plan. Within statutory limitations afforded by the Dillon Rule, the County can manage development in accordance with the policies of its Comprehensive</w:t>
      </w:r>
      <w:r>
        <w:rPr>
          <w:spacing w:val="-3"/>
        </w:rPr>
        <w:t> </w:t>
      </w:r>
      <w:r>
        <w:rPr/>
        <w:t>Plan.</w:t>
      </w:r>
    </w:p>
    <w:p>
      <w:pPr>
        <w:spacing w:after="0"/>
        <w:jc w:val="both"/>
        <w:sectPr>
          <w:pgSz w:w="12240" w:h="15840"/>
          <w:pgMar w:header="719" w:footer="1016" w:top="920" w:bottom="1200" w:left="600" w:right="600"/>
        </w:sectPr>
      </w:pPr>
    </w:p>
    <w:p>
      <w:pPr>
        <w:pStyle w:val="BodyText"/>
        <w:rPr>
          <w:sz w:val="20"/>
        </w:rPr>
      </w:pPr>
    </w:p>
    <w:p>
      <w:pPr>
        <w:pStyle w:val="Heading2"/>
        <w:jc w:val="both"/>
      </w:pPr>
      <w:r>
        <w:rPr>
          <w:color w:val="396230"/>
          <w:w w:val="105"/>
        </w:rPr>
        <w:t>Relationship to Other Planning</w:t>
      </w:r>
      <w:r>
        <w:rPr>
          <w:color w:val="396230"/>
          <w:spacing w:val="-57"/>
          <w:w w:val="105"/>
        </w:rPr>
        <w:t> </w:t>
      </w:r>
      <w:r>
        <w:rPr>
          <w:color w:val="396230"/>
          <w:w w:val="105"/>
        </w:rPr>
        <w:t>Documents</w:t>
      </w:r>
    </w:p>
    <w:p>
      <w:pPr>
        <w:spacing w:line="259" w:lineRule="auto" w:before="52"/>
        <w:ind w:left="840" w:right="832" w:firstLine="0"/>
        <w:jc w:val="both"/>
        <w:rPr>
          <w:sz w:val="24"/>
        </w:rPr>
      </w:pPr>
      <w:r>
        <w:rPr/>
        <w:pict>
          <v:shape style="position:absolute;margin-left:90.066002pt;margin-top:99.853073pt;width:395.3pt;height:419pt;mso-position-horizontal-relative:page;mso-position-vertical-relative:paragraph;z-index:-17680" coordorigin="1801,1997" coordsize="7906,8380" path="m4498,9261l4492,9187,4477,9109,4455,9026,4432,8957,4402,8885,4367,8810,4325,8732,4276,8651,4236,8593,4200,8542,4200,9227,4197,9284,4185,9341,4167,9398,4138,9458,4097,9521,4044,9587,3979,9656,3674,9961,2216,8504,2517,8203,2598,8127,2672,8067,2740,8023,2801,7997,2868,7982,2941,7978,3020,7985,3105,8003,3195,8032,3255,8058,3317,8090,3380,8129,3446,8174,3514,8225,3584,8283,3656,8348,3729,8419,3789,8481,3844,8541,3896,8600,3943,8658,3986,8715,4024,8770,4059,8824,4101,8898,4136,8971,4163,9040,4183,9107,4196,9171,4200,9227,4200,8542,4194,8533,4148,8473,4098,8412,4045,8351,3989,8290,3929,8228,3865,8166,3801,8108,3737,8053,3673,8001,3643,7978,3609,7953,3546,7909,3482,7867,3419,7829,3346,7792,3274,7759,3203,7732,3132,7710,3062,7693,2992,7681,2923,7674,2850,7672,2779,7679,2709,7694,2642,7717,2577,7747,2528,7776,2476,7813,2420,7858,2359,7912,2294,7975,1801,8468,3710,10376,4124,9961,4226,9860,4287,9795,4341,9729,4386,9663,4424,9597,4454,9530,4476,9464,4491,9397,4498,9329,4498,9261m6418,7668l6056,7540,5650,7397,5561,7368,5475,7344,5393,7325,5364,7320,5314,7311,5239,7300,5193,7299,5143,7302,5089,7309,5030,7320,5074,7250,5109,7181,5136,7111,5154,7043,5164,6974,5165,6906,5157,6838,5139,6760,5111,6684,5075,6609,5030,6537,4976,6466,4956,6443,4913,6397,4872,6359,4872,6916,4868,6972,4854,7027,4830,7083,4794,7142,4747,7203,4687,7266,4413,7540,4280,7673,3649,7042,4102,6589,4166,6532,4229,6489,4293,6460,4358,6444,4422,6443,4501,6458,4577,6488,4649,6533,4718,6592,4761,6640,4797,6691,4827,6745,4851,6801,4867,6859,4872,6916,4872,6359,4849,6338,4782,6285,4713,6240,4641,6201,4566,6169,4474,6141,4386,6128,4303,6130,4225,6146,4163,6171,4098,6207,4030,6255,3958,6315,3883,6386,3248,7021,5157,8929,5346,8740,4499,7892,4718,7673,4753,7639,4783,7612,4810,7591,4833,7576,4863,7563,4896,7552,4932,7544,4971,7540,5014,7540,5066,7545,5125,7556,5194,7572,5256,7589,5328,7610,5407,7635,5496,7664,6180,7906,6418,7668m7780,6305l7415,6110,6555,5656,6555,5963,6070,6448,5989,6305,5748,5875,5708,5803,5668,5731,5629,5666,5590,5601,5550,5537,5509,5474,5467,5412,5424,5351,5380,5290,5436,5326,5498,5363,5564,5403,5635,5445,5792,5536,6555,5963,6555,5656,5862,5290,5286,4983,5082,5187,5277,5538,5316,5608,5701,6305,6168,7154,6441,7645,6642,7444,6565,7310,6298,6842,6221,6709,6481,6448,6820,6110,7565,6521,7780,6305m8131,5955l7264,5088,7489,4863,7936,4416,7711,4191,7039,4863,6448,4272,7224,3495,6999,3270,6033,4236,7941,6144,8131,5955m9707,4379l8213,2885,8024,2696,8497,2222,8272,1997,7138,3132,7363,3357,7834,2885,9517,4568,9707,4379e" filled="true" fillcolor="#c0c0c0" stroked="false">
            <v:path arrowok="t"/>
            <v:fill opacity="32896f" type="solid"/>
            <w10:wrap type="none"/>
          </v:shape>
        </w:pict>
      </w:r>
      <w:r>
        <w:rPr>
          <w:sz w:val="24"/>
        </w:rPr>
        <w:t>The </w:t>
      </w:r>
      <w:r>
        <w:rPr>
          <w:i/>
          <w:sz w:val="24"/>
        </w:rPr>
        <w:t>Loudoun 2040 Comprehensive Plan </w:t>
      </w:r>
      <w:r>
        <w:rPr>
          <w:sz w:val="24"/>
        </w:rPr>
        <w:t>serves as the “umbrella” document for the County’s planning efforts and consists of the </w:t>
      </w:r>
      <w:r>
        <w:rPr>
          <w:i/>
          <w:sz w:val="24"/>
        </w:rPr>
        <w:t>Loudoun 2040 General Plan </w:t>
      </w:r>
      <w:r>
        <w:rPr>
          <w:sz w:val="24"/>
        </w:rPr>
        <w:t>and the </w:t>
      </w:r>
      <w:r>
        <w:rPr>
          <w:i/>
          <w:sz w:val="24"/>
        </w:rPr>
        <w:t>Loudoun 2040 </w:t>
      </w:r>
      <w:r>
        <w:rPr>
          <w:i/>
          <w:sz w:val="24"/>
        </w:rPr>
        <w:t>Countywide Transportation Plan</w:t>
      </w:r>
      <w:r>
        <w:rPr>
          <w:sz w:val="24"/>
        </w:rPr>
        <w:t>. The </w:t>
      </w:r>
      <w:r>
        <w:rPr>
          <w:i/>
          <w:sz w:val="24"/>
        </w:rPr>
        <w:t>Loudoun 2040 Comprehensive Plan </w:t>
      </w:r>
      <w:r>
        <w:rPr>
          <w:sz w:val="24"/>
        </w:rPr>
        <w:t>supersedes the previous </w:t>
      </w:r>
      <w:r>
        <w:rPr>
          <w:i/>
          <w:sz w:val="24"/>
        </w:rPr>
        <w:t>Revised General Plan </w:t>
      </w:r>
      <w:r>
        <w:rPr>
          <w:sz w:val="24"/>
        </w:rPr>
        <w:t>(2001), the </w:t>
      </w:r>
      <w:r>
        <w:rPr>
          <w:i/>
          <w:sz w:val="24"/>
        </w:rPr>
        <w:t>Revised Countywide Transportation Plan </w:t>
      </w:r>
      <w:r>
        <w:rPr>
          <w:sz w:val="24"/>
        </w:rPr>
        <w:t>(2010), the </w:t>
      </w:r>
      <w:r>
        <w:rPr>
          <w:i/>
          <w:sz w:val="24"/>
        </w:rPr>
        <w:t>Bicycle and Pedestrian Mobility Master Plan </w:t>
      </w:r>
      <w:r>
        <w:rPr>
          <w:sz w:val="24"/>
        </w:rPr>
        <w:t>(2003), </w:t>
      </w:r>
      <w:r>
        <w:rPr>
          <w:i/>
          <w:sz w:val="24"/>
        </w:rPr>
        <w:t>Greenways and Trails Plan </w:t>
      </w:r>
      <w:r>
        <w:rPr>
          <w:sz w:val="24"/>
        </w:rPr>
        <w:t>(1994), the</w:t>
      </w:r>
      <w:r>
        <w:rPr>
          <w:spacing w:val="-33"/>
          <w:sz w:val="24"/>
        </w:rPr>
        <w:t> </w:t>
      </w:r>
      <w:r>
        <w:rPr>
          <w:i/>
          <w:sz w:val="24"/>
        </w:rPr>
        <w:t>Toll </w:t>
      </w:r>
      <w:r>
        <w:rPr>
          <w:i/>
          <w:sz w:val="24"/>
        </w:rPr>
        <w:t>Road</w:t>
      </w:r>
      <w:r>
        <w:rPr>
          <w:i/>
          <w:spacing w:val="-6"/>
          <w:sz w:val="24"/>
        </w:rPr>
        <w:t> </w:t>
      </w:r>
      <w:r>
        <w:rPr>
          <w:i/>
          <w:sz w:val="24"/>
        </w:rPr>
        <w:t>Plan</w:t>
      </w:r>
      <w:r>
        <w:rPr>
          <w:i/>
          <w:spacing w:val="-6"/>
          <w:sz w:val="24"/>
        </w:rPr>
        <w:t> </w:t>
      </w:r>
      <w:r>
        <w:rPr>
          <w:sz w:val="24"/>
        </w:rPr>
        <w:t>(1995),</w:t>
      </w:r>
      <w:r>
        <w:rPr>
          <w:spacing w:val="-7"/>
          <w:sz w:val="24"/>
        </w:rPr>
        <w:t> </w:t>
      </w:r>
      <w:r>
        <w:rPr>
          <w:sz w:val="24"/>
        </w:rPr>
        <w:t>and</w:t>
      </w:r>
      <w:r>
        <w:rPr>
          <w:spacing w:val="-3"/>
          <w:sz w:val="24"/>
        </w:rPr>
        <w:t> </w:t>
      </w:r>
      <w:r>
        <w:rPr>
          <w:sz w:val="24"/>
        </w:rPr>
        <w:t>the</w:t>
      </w:r>
      <w:r>
        <w:rPr>
          <w:spacing w:val="-7"/>
          <w:sz w:val="24"/>
        </w:rPr>
        <w:t> </w:t>
      </w:r>
      <w:r>
        <w:rPr>
          <w:i/>
          <w:sz w:val="24"/>
        </w:rPr>
        <w:t>Countywide</w:t>
      </w:r>
      <w:r>
        <w:rPr>
          <w:i/>
          <w:spacing w:val="-7"/>
          <w:sz w:val="24"/>
        </w:rPr>
        <w:t> </w:t>
      </w:r>
      <w:r>
        <w:rPr>
          <w:i/>
          <w:sz w:val="24"/>
        </w:rPr>
        <w:t>Retail</w:t>
      </w:r>
      <w:r>
        <w:rPr>
          <w:i/>
          <w:spacing w:val="-6"/>
          <w:sz w:val="24"/>
        </w:rPr>
        <w:t> </w:t>
      </w:r>
      <w:r>
        <w:rPr>
          <w:i/>
          <w:sz w:val="24"/>
        </w:rPr>
        <w:t>Policy</w:t>
      </w:r>
      <w:r>
        <w:rPr>
          <w:i/>
          <w:spacing w:val="-7"/>
          <w:sz w:val="24"/>
        </w:rPr>
        <w:t> </w:t>
      </w:r>
      <w:r>
        <w:rPr>
          <w:i/>
          <w:sz w:val="24"/>
        </w:rPr>
        <w:t>Plan</w:t>
      </w:r>
      <w:r>
        <w:rPr>
          <w:i/>
          <w:spacing w:val="-6"/>
          <w:sz w:val="24"/>
        </w:rPr>
        <w:t> </w:t>
      </w:r>
      <w:r>
        <w:rPr>
          <w:i/>
          <w:sz w:val="24"/>
        </w:rPr>
        <w:t>Amendment</w:t>
      </w:r>
      <w:r>
        <w:rPr>
          <w:i/>
          <w:spacing w:val="-4"/>
          <w:sz w:val="24"/>
        </w:rPr>
        <w:t> </w:t>
      </w:r>
      <w:r>
        <w:rPr>
          <w:sz w:val="24"/>
        </w:rPr>
        <w:t>(1997).</w:t>
      </w:r>
      <w:r>
        <w:rPr>
          <w:spacing w:val="-6"/>
          <w:sz w:val="24"/>
        </w:rPr>
        <w:t> </w:t>
      </w:r>
      <w:r>
        <w:rPr>
          <w:i/>
          <w:sz w:val="24"/>
        </w:rPr>
        <w:t>Loudoun</w:t>
      </w:r>
      <w:r>
        <w:rPr>
          <w:i/>
          <w:spacing w:val="-6"/>
          <w:sz w:val="24"/>
        </w:rPr>
        <w:t> </w:t>
      </w:r>
      <w:r>
        <w:rPr>
          <w:i/>
          <w:sz w:val="24"/>
        </w:rPr>
        <w:t>2040</w:t>
      </w:r>
      <w:r>
        <w:rPr>
          <w:i/>
          <w:spacing w:val="-6"/>
          <w:sz w:val="24"/>
        </w:rPr>
        <w:t> </w:t>
      </w:r>
      <w:r>
        <w:rPr>
          <w:sz w:val="24"/>
        </w:rPr>
        <w:t>also supersedes</w:t>
      </w:r>
      <w:r>
        <w:rPr>
          <w:spacing w:val="-11"/>
          <w:sz w:val="24"/>
        </w:rPr>
        <w:t> </w:t>
      </w:r>
      <w:r>
        <w:rPr>
          <w:sz w:val="24"/>
        </w:rPr>
        <w:t>area</w:t>
      </w:r>
      <w:r>
        <w:rPr>
          <w:spacing w:val="-14"/>
          <w:sz w:val="24"/>
        </w:rPr>
        <w:t> </w:t>
      </w:r>
      <w:r>
        <w:rPr>
          <w:sz w:val="24"/>
        </w:rPr>
        <w:t>management</w:t>
      </w:r>
      <w:r>
        <w:rPr>
          <w:spacing w:val="-13"/>
          <w:sz w:val="24"/>
        </w:rPr>
        <w:t> </w:t>
      </w:r>
      <w:r>
        <w:rPr>
          <w:sz w:val="24"/>
        </w:rPr>
        <w:t>plans</w:t>
      </w:r>
      <w:r>
        <w:rPr>
          <w:spacing w:val="-14"/>
          <w:sz w:val="24"/>
        </w:rPr>
        <w:t> </w:t>
      </w:r>
      <w:r>
        <w:rPr>
          <w:sz w:val="24"/>
        </w:rPr>
        <w:t>for</w:t>
      </w:r>
      <w:r>
        <w:rPr>
          <w:spacing w:val="-13"/>
          <w:sz w:val="24"/>
        </w:rPr>
        <w:t> </w:t>
      </w:r>
      <w:r>
        <w:rPr>
          <w:sz w:val="24"/>
        </w:rPr>
        <w:t>Dulles</w:t>
      </w:r>
      <w:r>
        <w:rPr>
          <w:spacing w:val="-14"/>
          <w:sz w:val="24"/>
        </w:rPr>
        <w:t> </w:t>
      </w:r>
      <w:r>
        <w:rPr>
          <w:sz w:val="24"/>
        </w:rPr>
        <w:t>North</w:t>
      </w:r>
      <w:r>
        <w:rPr>
          <w:spacing w:val="-14"/>
          <w:sz w:val="24"/>
        </w:rPr>
        <w:t> </w:t>
      </w:r>
      <w:r>
        <w:rPr>
          <w:sz w:val="24"/>
        </w:rPr>
        <w:t>(1993),</w:t>
      </w:r>
      <w:r>
        <w:rPr>
          <w:spacing w:val="-12"/>
          <w:sz w:val="24"/>
        </w:rPr>
        <w:t> </w:t>
      </w:r>
      <w:r>
        <w:rPr>
          <w:sz w:val="24"/>
        </w:rPr>
        <w:t>Dulles</w:t>
      </w:r>
      <w:r>
        <w:rPr>
          <w:spacing w:val="-14"/>
          <w:sz w:val="24"/>
        </w:rPr>
        <w:t> </w:t>
      </w:r>
      <w:r>
        <w:rPr>
          <w:sz w:val="24"/>
        </w:rPr>
        <w:t>South</w:t>
      </w:r>
      <w:r>
        <w:rPr>
          <w:spacing w:val="-13"/>
          <w:sz w:val="24"/>
        </w:rPr>
        <w:t> </w:t>
      </w:r>
      <w:r>
        <w:rPr>
          <w:sz w:val="24"/>
        </w:rPr>
        <w:t>(1993),</w:t>
      </w:r>
      <w:r>
        <w:rPr>
          <w:spacing w:val="-13"/>
          <w:sz w:val="24"/>
        </w:rPr>
        <w:t> </w:t>
      </w:r>
      <w:r>
        <w:rPr>
          <w:sz w:val="24"/>
        </w:rPr>
        <w:t>Cub</w:t>
      </w:r>
      <w:r>
        <w:rPr>
          <w:spacing w:val="-13"/>
          <w:sz w:val="24"/>
        </w:rPr>
        <w:t> </w:t>
      </w:r>
      <w:r>
        <w:rPr>
          <w:sz w:val="24"/>
        </w:rPr>
        <w:t>Run</w:t>
      </w:r>
      <w:r>
        <w:rPr>
          <w:spacing w:val="-13"/>
          <w:sz w:val="24"/>
        </w:rPr>
        <w:t> </w:t>
      </w:r>
      <w:r>
        <w:rPr>
          <w:sz w:val="24"/>
        </w:rPr>
        <w:t>(1989), and Eastern Loudoun</w:t>
      </w:r>
      <w:r>
        <w:rPr>
          <w:spacing w:val="2"/>
          <w:sz w:val="24"/>
        </w:rPr>
        <w:t> </w:t>
      </w:r>
      <w:r>
        <w:rPr>
          <w:sz w:val="24"/>
        </w:rPr>
        <w:t>(1980).</w:t>
      </w:r>
    </w:p>
    <w:p>
      <w:pPr>
        <w:spacing w:line="259" w:lineRule="auto" w:before="157"/>
        <w:ind w:left="840" w:right="836" w:firstLine="0"/>
        <w:jc w:val="both"/>
        <w:rPr>
          <w:sz w:val="24"/>
        </w:rPr>
      </w:pPr>
      <w:r>
        <w:rPr>
          <w:sz w:val="24"/>
        </w:rPr>
        <w:t>The</w:t>
      </w:r>
      <w:r>
        <w:rPr>
          <w:spacing w:val="-10"/>
          <w:sz w:val="24"/>
        </w:rPr>
        <w:t> </w:t>
      </w:r>
      <w:r>
        <w:rPr>
          <w:sz w:val="24"/>
        </w:rPr>
        <w:t>County</w:t>
      </w:r>
      <w:r>
        <w:rPr>
          <w:spacing w:val="-13"/>
          <w:sz w:val="24"/>
        </w:rPr>
        <w:t> </w:t>
      </w:r>
      <w:r>
        <w:rPr>
          <w:sz w:val="24"/>
        </w:rPr>
        <w:t>will</w:t>
      </w:r>
      <w:r>
        <w:rPr>
          <w:spacing w:val="-8"/>
          <w:sz w:val="24"/>
        </w:rPr>
        <w:t> </w:t>
      </w:r>
      <w:r>
        <w:rPr>
          <w:sz w:val="24"/>
        </w:rPr>
        <w:t>continue</w:t>
      </w:r>
      <w:r>
        <w:rPr>
          <w:spacing w:val="-10"/>
          <w:sz w:val="24"/>
        </w:rPr>
        <w:t> </w:t>
      </w:r>
      <w:r>
        <w:rPr>
          <w:sz w:val="24"/>
        </w:rPr>
        <w:t>to</w:t>
      </w:r>
      <w:r>
        <w:rPr>
          <w:spacing w:val="-6"/>
          <w:sz w:val="24"/>
        </w:rPr>
        <w:t> </w:t>
      </w:r>
      <w:r>
        <w:rPr>
          <w:sz w:val="24"/>
        </w:rPr>
        <w:t>apply</w:t>
      </w:r>
      <w:r>
        <w:rPr>
          <w:spacing w:val="-16"/>
          <w:sz w:val="24"/>
        </w:rPr>
        <w:t> </w:t>
      </w:r>
      <w:r>
        <w:rPr>
          <w:sz w:val="24"/>
        </w:rPr>
        <w:t>the</w:t>
      </w:r>
      <w:r>
        <w:rPr>
          <w:spacing w:val="-10"/>
          <w:sz w:val="24"/>
        </w:rPr>
        <w:t> </w:t>
      </w:r>
      <w:r>
        <w:rPr>
          <w:sz w:val="24"/>
        </w:rPr>
        <w:t>adopted</w:t>
      </w:r>
      <w:r>
        <w:rPr>
          <w:spacing w:val="-9"/>
          <w:sz w:val="24"/>
        </w:rPr>
        <w:t> </w:t>
      </w:r>
      <w:r>
        <w:rPr>
          <w:sz w:val="24"/>
        </w:rPr>
        <w:t>area</w:t>
      </w:r>
      <w:r>
        <w:rPr>
          <w:spacing w:val="-7"/>
          <w:sz w:val="24"/>
        </w:rPr>
        <w:t> </w:t>
      </w:r>
      <w:r>
        <w:rPr>
          <w:sz w:val="24"/>
        </w:rPr>
        <w:t>plans</w:t>
      </w:r>
      <w:r>
        <w:rPr>
          <w:spacing w:val="-9"/>
          <w:sz w:val="24"/>
        </w:rPr>
        <w:t> </w:t>
      </w:r>
      <w:r>
        <w:rPr>
          <w:sz w:val="24"/>
        </w:rPr>
        <w:t>for</w:t>
      </w:r>
      <w:r>
        <w:rPr>
          <w:spacing w:val="-10"/>
          <w:sz w:val="24"/>
        </w:rPr>
        <w:t> </w:t>
      </w:r>
      <w:r>
        <w:rPr>
          <w:sz w:val="24"/>
        </w:rPr>
        <w:t>the</w:t>
      </w:r>
      <w:r>
        <w:rPr>
          <w:spacing w:val="-9"/>
          <w:sz w:val="24"/>
        </w:rPr>
        <w:t> </w:t>
      </w:r>
      <w:r>
        <w:rPr>
          <w:sz w:val="24"/>
        </w:rPr>
        <w:t>communities</w:t>
      </w:r>
      <w:r>
        <w:rPr>
          <w:spacing w:val="-9"/>
          <w:sz w:val="24"/>
        </w:rPr>
        <w:t> </w:t>
      </w:r>
      <w:r>
        <w:rPr>
          <w:sz w:val="24"/>
        </w:rPr>
        <w:t>of</w:t>
      </w:r>
      <w:r>
        <w:rPr>
          <w:spacing w:val="-9"/>
          <w:sz w:val="24"/>
        </w:rPr>
        <w:t> </w:t>
      </w:r>
      <w:r>
        <w:rPr>
          <w:sz w:val="24"/>
        </w:rPr>
        <w:t>Hamilton</w:t>
      </w:r>
      <w:r>
        <w:rPr>
          <w:spacing w:val="-9"/>
          <w:sz w:val="24"/>
        </w:rPr>
        <w:t> </w:t>
      </w:r>
      <w:r>
        <w:rPr>
          <w:sz w:val="24"/>
        </w:rPr>
        <w:t>(1995), Leesburg (1982), Round Hill (1990), and Waterford (1988). The </w:t>
      </w:r>
      <w:r>
        <w:rPr>
          <w:i/>
          <w:sz w:val="24"/>
        </w:rPr>
        <w:t>Heritage Preservation Plan </w:t>
      </w:r>
      <w:r>
        <w:rPr>
          <w:sz w:val="24"/>
        </w:rPr>
        <w:t>(2009), </w:t>
      </w:r>
      <w:r>
        <w:rPr>
          <w:i/>
          <w:sz w:val="24"/>
        </w:rPr>
        <w:t>Route 50 Corridor Design Guidelines </w:t>
      </w:r>
      <w:r>
        <w:rPr>
          <w:sz w:val="24"/>
        </w:rPr>
        <w:t>(2007), and </w:t>
      </w:r>
      <w:r>
        <w:rPr>
          <w:i/>
          <w:sz w:val="24"/>
        </w:rPr>
        <w:t>Strategic Land Use Plan for </w:t>
      </w:r>
      <w:r>
        <w:rPr>
          <w:i/>
          <w:sz w:val="24"/>
        </w:rPr>
        <w:t>Telecommunication Facilities </w:t>
      </w:r>
      <w:r>
        <w:rPr>
          <w:sz w:val="24"/>
        </w:rPr>
        <w:t>(1996) as amended, also remain in effect. The policies and guidelines</w:t>
      </w:r>
      <w:r>
        <w:rPr>
          <w:spacing w:val="-16"/>
          <w:sz w:val="24"/>
        </w:rPr>
        <w:t> </w:t>
      </w:r>
      <w:r>
        <w:rPr>
          <w:sz w:val="24"/>
        </w:rPr>
        <w:t>in</w:t>
      </w:r>
      <w:r>
        <w:rPr>
          <w:spacing w:val="-15"/>
          <w:sz w:val="24"/>
        </w:rPr>
        <w:t> </w:t>
      </w:r>
      <w:r>
        <w:rPr>
          <w:sz w:val="24"/>
        </w:rPr>
        <w:t>the</w:t>
      </w:r>
      <w:r>
        <w:rPr>
          <w:spacing w:val="-16"/>
          <w:sz w:val="24"/>
        </w:rPr>
        <w:t> </w:t>
      </w:r>
      <w:r>
        <w:rPr>
          <w:i/>
          <w:sz w:val="24"/>
        </w:rPr>
        <w:t>Loudoun</w:t>
      </w:r>
      <w:r>
        <w:rPr>
          <w:i/>
          <w:spacing w:val="-16"/>
          <w:sz w:val="24"/>
        </w:rPr>
        <w:t> </w:t>
      </w:r>
      <w:r>
        <w:rPr>
          <w:i/>
          <w:sz w:val="24"/>
        </w:rPr>
        <w:t>2040</w:t>
      </w:r>
      <w:r>
        <w:rPr>
          <w:i/>
          <w:spacing w:val="-16"/>
          <w:sz w:val="24"/>
        </w:rPr>
        <w:t> </w:t>
      </w:r>
      <w:r>
        <w:rPr>
          <w:i/>
          <w:sz w:val="24"/>
        </w:rPr>
        <w:t>Comprehensive</w:t>
      </w:r>
      <w:r>
        <w:rPr>
          <w:i/>
          <w:spacing w:val="-17"/>
          <w:sz w:val="24"/>
        </w:rPr>
        <w:t> </w:t>
      </w:r>
      <w:r>
        <w:rPr>
          <w:i/>
          <w:sz w:val="24"/>
        </w:rPr>
        <w:t>Plan</w:t>
      </w:r>
      <w:r>
        <w:rPr>
          <w:i/>
          <w:spacing w:val="-14"/>
          <w:sz w:val="24"/>
        </w:rPr>
        <w:t> </w:t>
      </w:r>
      <w:r>
        <w:rPr>
          <w:sz w:val="24"/>
        </w:rPr>
        <w:t>will</w:t>
      </w:r>
      <w:r>
        <w:rPr>
          <w:spacing w:val="-15"/>
          <w:sz w:val="24"/>
        </w:rPr>
        <w:t> </w:t>
      </w:r>
      <w:r>
        <w:rPr>
          <w:sz w:val="24"/>
        </w:rPr>
        <w:t>supersede</w:t>
      </w:r>
      <w:r>
        <w:rPr>
          <w:spacing w:val="-17"/>
          <w:sz w:val="24"/>
        </w:rPr>
        <w:t> </w:t>
      </w:r>
      <w:r>
        <w:rPr>
          <w:sz w:val="24"/>
        </w:rPr>
        <w:t>any</w:t>
      </w:r>
      <w:r>
        <w:rPr>
          <w:spacing w:val="-18"/>
          <w:sz w:val="24"/>
        </w:rPr>
        <w:t> </w:t>
      </w:r>
      <w:r>
        <w:rPr>
          <w:sz w:val="24"/>
        </w:rPr>
        <w:t>conflicting</w:t>
      </w:r>
      <w:r>
        <w:rPr>
          <w:spacing w:val="-18"/>
          <w:sz w:val="24"/>
        </w:rPr>
        <w:t> </w:t>
      </w:r>
      <w:r>
        <w:rPr>
          <w:sz w:val="24"/>
        </w:rPr>
        <w:t>policies</w:t>
      </w:r>
      <w:r>
        <w:rPr>
          <w:spacing w:val="-16"/>
          <w:sz w:val="24"/>
        </w:rPr>
        <w:t> </w:t>
      </w:r>
      <w:r>
        <w:rPr>
          <w:sz w:val="24"/>
        </w:rPr>
        <w:t>and/or guidelines contained in any of the plans mentioned above. Additional information regarding the relationship between the </w:t>
      </w:r>
      <w:r>
        <w:rPr>
          <w:i/>
          <w:sz w:val="24"/>
        </w:rPr>
        <w:t>Loudoun 2040 Comprehensive Plan </w:t>
      </w:r>
      <w:r>
        <w:rPr>
          <w:sz w:val="24"/>
        </w:rPr>
        <w:t>and other planning documents can be found in [a future</w:t>
      </w:r>
      <w:r>
        <w:rPr>
          <w:spacing w:val="-3"/>
          <w:sz w:val="24"/>
        </w:rPr>
        <w:t> </w:t>
      </w:r>
      <w:r>
        <w:rPr>
          <w:sz w:val="24"/>
        </w:rPr>
        <w:t>Appendix].</w:t>
      </w:r>
    </w:p>
    <w:p>
      <w:pPr>
        <w:pStyle w:val="BodyText"/>
        <w:spacing w:line="256" w:lineRule="auto" w:before="160"/>
        <w:ind w:left="840" w:right="836"/>
        <w:jc w:val="both"/>
      </w:pPr>
      <w:r>
        <w:rPr/>
        <w:t>The </w:t>
      </w:r>
      <w:r>
        <w:rPr>
          <w:i/>
        </w:rPr>
        <w:t>Loudoun 2040 Comprehensive Plan </w:t>
      </w:r>
      <w:r>
        <w:rPr/>
        <w:t>anticipates the need for additional detailed planning efforts, such as small area plans and village plans, to address the County’s complex and evolving planning challenges and to better realize the County’s long-range community development goals.</w:t>
      </w:r>
    </w:p>
    <w:p>
      <w:pPr>
        <w:pStyle w:val="Heading2"/>
        <w:spacing w:before="141"/>
        <w:jc w:val="both"/>
      </w:pPr>
      <w:r>
        <w:rPr>
          <w:color w:val="396230"/>
          <w:w w:val="105"/>
        </w:rPr>
        <w:t>Relationship to Regulatory Documents</w:t>
      </w:r>
    </w:p>
    <w:p>
      <w:pPr>
        <w:pStyle w:val="BodyText"/>
        <w:spacing w:line="259" w:lineRule="auto" w:before="53"/>
        <w:ind w:left="840" w:right="836"/>
        <w:jc w:val="both"/>
      </w:pPr>
      <w:r>
        <w:rPr/>
        <w:t>The</w:t>
      </w:r>
      <w:r>
        <w:rPr>
          <w:spacing w:val="-6"/>
        </w:rPr>
        <w:t> </w:t>
      </w:r>
      <w:r>
        <w:rPr>
          <w:i/>
        </w:rPr>
        <w:t>Loudoun</w:t>
      </w:r>
      <w:r>
        <w:rPr>
          <w:i/>
          <w:spacing w:val="-5"/>
        </w:rPr>
        <w:t> </w:t>
      </w:r>
      <w:r>
        <w:rPr>
          <w:i/>
        </w:rPr>
        <w:t>2040</w:t>
      </w:r>
      <w:r>
        <w:rPr>
          <w:i/>
          <w:spacing w:val="-4"/>
        </w:rPr>
        <w:t> </w:t>
      </w:r>
      <w:r>
        <w:rPr>
          <w:i/>
        </w:rPr>
        <w:t>General</w:t>
      </w:r>
      <w:r>
        <w:rPr>
          <w:i/>
          <w:spacing w:val="-4"/>
        </w:rPr>
        <w:t> </w:t>
      </w:r>
      <w:r>
        <w:rPr>
          <w:i/>
        </w:rPr>
        <w:t>Plan</w:t>
      </w:r>
      <w:r>
        <w:rPr>
          <w:i/>
          <w:spacing w:val="-4"/>
        </w:rPr>
        <w:t> </w:t>
      </w:r>
      <w:r>
        <w:rPr/>
        <w:t>sets</w:t>
      </w:r>
      <w:r>
        <w:rPr>
          <w:spacing w:val="-4"/>
        </w:rPr>
        <w:t> </w:t>
      </w:r>
      <w:r>
        <w:rPr/>
        <w:t>forth</w:t>
      </w:r>
      <w:r>
        <w:rPr>
          <w:spacing w:val="-4"/>
        </w:rPr>
        <w:t> </w:t>
      </w:r>
      <w:r>
        <w:rPr/>
        <w:t>the</w:t>
      </w:r>
      <w:r>
        <w:rPr>
          <w:spacing w:val="-5"/>
        </w:rPr>
        <w:t> </w:t>
      </w:r>
      <w:r>
        <w:rPr/>
        <w:t>community-based</w:t>
      </w:r>
      <w:r>
        <w:rPr>
          <w:spacing w:val="-5"/>
        </w:rPr>
        <w:t> </w:t>
      </w:r>
      <w:r>
        <w:rPr/>
        <w:t>vision</w:t>
      </w:r>
      <w:r>
        <w:rPr>
          <w:spacing w:val="-5"/>
        </w:rPr>
        <w:t> </w:t>
      </w:r>
      <w:r>
        <w:rPr/>
        <w:t>for</w:t>
      </w:r>
      <w:r>
        <w:rPr>
          <w:spacing w:val="-2"/>
        </w:rPr>
        <w:t> </w:t>
      </w:r>
      <w:r>
        <w:rPr/>
        <w:t>Loudoun’s</w:t>
      </w:r>
      <w:r>
        <w:rPr>
          <w:spacing w:val="-5"/>
        </w:rPr>
        <w:t> </w:t>
      </w:r>
      <w:r>
        <w:rPr/>
        <w:t>future</w:t>
      </w:r>
      <w:r>
        <w:rPr>
          <w:spacing w:val="-3"/>
        </w:rPr>
        <w:t> </w:t>
      </w:r>
      <w:r>
        <w:rPr/>
        <w:t>and is a policy document that provides guidance to the County’s decision-makers regarding land development, capital improvements, and public programs. The </w:t>
      </w:r>
      <w:r>
        <w:rPr>
          <w:i/>
        </w:rPr>
        <w:t>Loudoun County Zoning </w:t>
      </w:r>
      <w:r>
        <w:rPr>
          <w:i/>
        </w:rPr>
        <w:t>Ordinance </w:t>
      </w:r>
      <w:r>
        <w:rPr/>
        <w:t>(Zoning Ordinance) is a regulatory document that establishes the rules governing the use of land. The Zoning Ordinance’s regulations specify permitted uses on properties, establish the</w:t>
      </w:r>
      <w:r>
        <w:rPr>
          <w:spacing w:val="-13"/>
        </w:rPr>
        <w:t> </w:t>
      </w:r>
      <w:r>
        <w:rPr/>
        <w:t>density</w:t>
      </w:r>
      <w:r>
        <w:rPr>
          <w:spacing w:val="-17"/>
        </w:rPr>
        <w:t> </w:t>
      </w:r>
      <w:r>
        <w:rPr/>
        <w:t>and</w:t>
      </w:r>
      <w:r>
        <w:rPr>
          <w:spacing w:val="-10"/>
        </w:rPr>
        <w:t> </w:t>
      </w:r>
      <w:r>
        <w:rPr/>
        <w:t>intensity</w:t>
      </w:r>
      <w:r>
        <w:rPr>
          <w:spacing w:val="-12"/>
        </w:rPr>
        <w:t> </w:t>
      </w:r>
      <w:r>
        <w:rPr/>
        <w:t>of</w:t>
      </w:r>
      <w:r>
        <w:rPr>
          <w:spacing w:val="-13"/>
        </w:rPr>
        <w:t> </w:t>
      </w:r>
      <w:r>
        <w:rPr/>
        <w:t>development,</w:t>
      </w:r>
      <w:r>
        <w:rPr>
          <w:spacing w:val="-12"/>
        </w:rPr>
        <w:t> </w:t>
      </w:r>
      <w:r>
        <w:rPr/>
        <w:t>and</w:t>
      </w:r>
      <w:r>
        <w:rPr>
          <w:spacing w:val="-10"/>
        </w:rPr>
        <w:t> </w:t>
      </w:r>
      <w:r>
        <w:rPr/>
        <w:t>establish</w:t>
      </w:r>
      <w:r>
        <w:rPr>
          <w:spacing w:val="-12"/>
        </w:rPr>
        <w:t> </w:t>
      </w:r>
      <w:r>
        <w:rPr/>
        <w:t>design</w:t>
      </w:r>
      <w:r>
        <w:rPr>
          <w:spacing w:val="-10"/>
        </w:rPr>
        <w:t> </w:t>
      </w:r>
      <w:r>
        <w:rPr/>
        <w:t>parameters</w:t>
      </w:r>
      <w:r>
        <w:rPr>
          <w:spacing w:val="-11"/>
        </w:rPr>
        <w:t> </w:t>
      </w:r>
      <w:r>
        <w:rPr/>
        <w:t>for</w:t>
      </w:r>
      <w:r>
        <w:rPr>
          <w:spacing w:val="-13"/>
        </w:rPr>
        <w:t> </w:t>
      </w:r>
      <w:r>
        <w:rPr/>
        <w:t>developments.</w:t>
      </w:r>
      <w:r>
        <w:rPr>
          <w:spacing w:val="-12"/>
        </w:rPr>
        <w:t> </w:t>
      </w:r>
      <w:r>
        <w:rPr/>
        <w:t>These regulations also provide “entitlements” or certain rights of property owners to develop their property.</w:t>
      </w:r>
    </w:p>
    <w:p>
      <w:pPr>
        <w:spacing w:line="259" w:lineRule="auto" w:before="157"/>
        <w:ind w:left="840" w:right="835" w:firstLine="0"/>
        <w:jc w:val="both"/>
        <w:rPr>
          <w:sz w:val="24"/>
        </w:rPr>
      </w:pPr>
      <w:r>
        <w:rPr>
          <w:sz w:val="24"/>
        </w:rPr>
        <w:t>Many of the Policies, Strategies, and Actions described in the </w:t>
      </w:r>
      <w:r>
        <w:rPr>
          <w:i/>
          <w:sz w:val="24"/>
        </w:rPr>
        <w:t>Loudoun 2040 General Plan </w:t>
      </w:r>
      <w:r>
        <w:rPr>
          <w:sz w:val="24"/>
        </w:rPr>
        <w:t>are intended to be implemented through revisions and amendments to various sections of the Zoning Ordinance. Parts of the </w:t>
      </w:r>
      <w:r>
        <w:rPr>
          <w:i/>
          <w:sz w:val="24"/>
        </w:rPr>
        <w:t>Loudoun 2040 General Plan </w:t>
      </w:r>
      <w:r>
        <w:rPr>
          <w:sz w:val="24"/>
        </w:rPr>
        <w:t>also refer to other documents that regulate the</w:t>
      </w:r>
      <w:r>
        <w:rPr>
          <w:spacing w:val="-16"/>
          <w:sz w:val="24"/>
        </w:rPr>
        <w:t> </w:t>
      </w:r>
      <w:r>
        <w:rPr>
          <w:sz w:val="24"/>
        </w:rPr>
        <w:t>County’s</w:t>
      </w:r>
      <w:r>
        <w:rPr>
          <w:spacing w:val="-16"/>
          <w:sz w:val="24"/>
        </w:rPr>
        <w:t> </w:t>
      </w:r>
      <w:r>
        <w:rPr>
          <w:sz w:val="24"/>
        </w:rPr>
        <w:t>land</w:t>
      </w:r>
      <w:r>
        <w:rPr>
          <w:spacing w:val="-16"/>
          <w:sz w:val="24"/>
        </w:rPr>
        <w:t> </w:t>
      </w:r>
      <w:r>
        <w:rPr>
          <w:sz w:val="24"/>
        </w:rPr>
        <w:t>use,</w:t>
      </w:r>
      <w:r>
        <w:rPr>
          <w:spacing w:val="-16"/>
          <w:sz w:val="24"/>
        </w:rPr>
        <w:t> </w:t>
      </w:r>
      <w:r>
        <w:rPr>
          <w:sz w:val="24"/>
        </w:rPr>
        <w:t>land</w:t>
      </w:r>
      <w:r>
        <w:rPr>
          <w:spacing w:val="-16"/>
          <w:sz w:val="24"/>
        </w:rPr>
        <w:t> </w:t>
      </w:r>
      <w:r>
        <w:rPr>
          <w:sz w:val="24"/>
        </w:rPr>
        <w:t>management,</w:t>
      </w:r>
      <w:r>
        <w:rPr>
          <w:spacing w:val="-16"/>
          <w:sz w:val="24"/>
        </w:rPr>
        <w:t> </w:t>
      </w:r>
      <w:r>
        <w:rPr>
          <w:sz w:val="24"/>
        </w:rPr>
        <w:t>and</w:t>
      </w:r>
      <w:r>
        <w:rPr>
          <w:spacing w:val="-16"/>
          <w:sz w:val="24"/>
        </w:rPr>
        <w:t> </w:t>
      </w:r>
      <w:r>
        <w:rPr>
          <w:sz w:val="24"/>
        </w:rPr>
        <w:t>development</w:t>
      </w:r>
      <w:r>
        <w:rPr>
          <w:spacing w:val="-15"/>
          <w:sz w:val="24"/>
        </w:rPr>
        <w:t> </w:t>
      </w:r>
      <w:r>
        <w:rPr>
          <w:sz w:val="24"/>
        </w:rPr>
        <w:t>patterns,</w:t>
      </w:r>
      <w:r>
        <w:rPr>
          <w:spacing w:val="-16"/>
          <w:sz w:val="24"/>
        </w:rPr>
        <w:t> </w:t>
      </w:r>
      <w:r>
        <w:rPr>
          <w:sz w:val="24"/>
        </w:rPr>
        <w:t>including</w:t>
      </w:r>
      <w:r>
        <w:rPr>
          <w:spacing w:val="-18"/>
          <w:sz w:val="24"/>
        </w:rPr>
        <w:t> </w:t>
      </w:r>
      <w:r>
        <w:rPr>
          <w:sz w:val="24"/>
        </w:rPr>
        <w:t>the</w:t>
      </w:r>
      <w:r>
        <w:rPr>
          <w:spacing w:val="-16"/>
          <w:sz w:val="24"/>
        </w:rPr>
        <w:t> </w:t>
      </w:r>
      <w:r>
        <w:rPr>
          <w:i/>
          <w:sz w:val="24"/>
        </w:rPr>
        <w:t>Loudoun</w:t>
      </w:r>
      <w:r>
        <w:rPr>
          <w:i/>
          <w:spacing w:val="-16"/>
          <w:sz w:val="24"/>
        </w:rPr>
        <w:t> </w:t>
      </w:r>
      <w:r>
        <w:rPr>
          <w:i/>
          <w:sz w:val="24"/>
        </w:rPr>
        <w:t>County </w:t>
      </w:r>
      <w:r>
        <w:rPr>
          <w:i/>
          <w:sz w:val="24"/>
        </w:rPr>
        <w:t>Facilities Standards Manual </w:t>
      </w:r>
      <w:r>
        <w:rPr>
          <w:sz w:val="24"/>
        </w:rPr>
        <w:t>and the </w:t>
      </w:r>
      <w:r>
        <w:rPr>
          <w:i/>
          <w:sz w:val="24"/>
        </w:rPr>
        <w:t>Loudoun County Land Subdivision and Development </w:t>
      </w:r>
      <w:r>
        <w:rPr>
          <w:i/>
          <w:sz w:val="24"/>
        </w:rPr>
        <w:t>Ordinance</w:t>
      </w:r>
      <w:r>
        <w:rPr>
          <w:sz w:val="24"/>
        </w:rPr>
        <w:t>.</w:t>
      </w:r>
      <w:r>
        <w:rPr>
          <w:spacing w:val="-7"/>
          <w:sz w:val="24"/>
        </w:rPr>
        <w:t> </w:t>
      </w:r>
      <w:r>
        <w:rPr>
          <w:sz w:val="24"/>
        </w:rPr>
        <w:t>Although</w:t>
      </w:r>
      <w:r>
        <w:rPr>
          <w:spacing w:val="-6"/>
          <w:sz w:val="24"/>
        </w:rPr>
        <w:t> </w:t>
      </w:r>
      <w:r>
        <w:rPr>
          <w:i/>
          <w:sz w:val="24"/>
        </w:rPr>
        <w:t>Loudoun</w:t>
      </w:r>
      <w:r>
        <w:rPr>
          <w:i/>
          <w:spacing w:val="-7"/>
          <w:sz w:val="24"/>
        </w:rPr>
        <w:t> </w:t>
      </w:r>
      <w:r>
        <w:rPr>
          <w:i/>
          <w:sz w:val="24"/>
        </w:rPr>
        <w:t>2040</w:t>
      </w:r>
      <w:r>
        <w:rPr>
          <w:i/>
          <w:spacing w:val="-7"/>
          <w:sz w:val="24"/>
        </w:rPr>
        <w:t> </w:t>
      </w:r>
      <w:r>
        <w:rPr>
          <w:sz w:val="24"/>
        </w:rPr>
        <w:t>provides</w:t>
      </w:r>
      <w:r>
        <w:rPr>
          <w:spacing w:val="-5"/>
          <w:sz w:val="24"/>
        </w:rPr>
        <w:t> </w:t>
      </w:r>
      <w:r>
        <w:rPr>
          <w:sz w:val="24"/>
        </w:rPr>
        <w:t>guidance</w:t>
      </w:r>
      <w:r>
        <w:rPr>
          <w:spacing w:val="-6"/>
          <w:sz w:val="24"/>
        </w:rPr>
        <w:t> </w:t>
      </w:r>
      <w:r>
        <w:rPr>
          <w:sz w:val="24"/>
        </w:rPr>
        <w:t>for</w:t>
      </w:r>
      <w:r>
        <w:rPr>
          <w:spacing w:val="-8"/>
          <w:sz w:val="24"/>
        </w:rPr>
        <w:t> </w:t>
      </w:r>
      <w:r>
        <w:rPr>
          <w:sz w:val="24"/>
        </w:rPr>
        <w:t>potential</w:t>
      </w:r>
      <w:r>
        <w:rPr>
          <w:spacing w:val="-6"/>
          <w:sz w:val="24"/>
        </w:rPr>
        <w:t> </w:t>
      </w:r>
      <w:r>
        <w:rPr>
          <w:sz w:val="24"/>
        </w:rPr>
        <w:t>revisions</w:t>
      </w:r>
      <w:r>
        <w:rPr>
          <w:spacing w:val="-7"/>
          <w:sz w:val="24"/>
        </w:rPr>
        <w:t> </w:t>
      </w:r>
      <w:r>
        <w:rPr>
          <w:sz w:val="24"/>
        </w:rPr>
        <w:t>and</w:t>
      </w:r>
      <w:r>
        <w:rPr>
          <w:spacing w:val="-7"/>
          <w:sz w:val="24"/>
        </w:rPr>
        <w:t> </w:t>
      </w:r>
      <w:r>
        <w:rPr>
          <w:sz w:val="24"/>
        </w:rPr>
        <w:t>amendments</w:t>
      </w:r>
      <w:r>
        <w:rPr>
          <w:spacing w:val="-7"/>
          <w:sz w:val="24"/>
        </w:rPr>
        <w:t> </w:t>
      </w:r>
      <w:r>
        <w:rPr>
          <w:sz w:val="24"/>
        </w:rPr>
        <w:t>to various regulations, it does not replace or supersede the County’s existing codes and ordinances, all of which will continue to apply as standalone regulatory</w:t>
      </w:r>
      <w:r>
        <w:rPr>
          <w:spacing w:val="-8"/>
          <w:sz w:val="24"/>
        </w:rPr>
        <w:t> </w:t>
      </w:r>
      <w:r>
        <w:rPr>
          <w:sz w:val="24"/>
        </w:rPr>
        <w:t>documents.</w:t>
      </w:r>
    </w:p>
    <w:p>
      <w:pPr>
        <w:pStyle w:val="Heading1"/>
      </w:pPr>
      <w:bookmarkStart w:name="_TOC_250000" w:id="6"/>
      <w:bookmarkEnd w:id="6"/>
      <w:r>
        <w:rPr/>
        <w:t>Reference Maps</w:t>
      </w:r>
    </w:p>
    <w:p>
      <w:pPr>
        <w:pStyle w:val="BodyText"/>
        <w:spacing w:before="263"/>
        <w:ind w:left="840"/>
        <w:jc w:val="both"/>
      </w:pPr>
      <w:r>
        <w:rPr/>
        <w:t>Loudoun County and Surrounding Area (Map #2018-153)</w:t>
      </w:r>
    </w:p>
    <w:p>
      <w:pPr>
        <w:spacing w:after="0"/>
        <w:jc w:val="both"/>
        <w:sectPr>
          <w:pgSz w:w="12240" w:h="15840"/>
          <w:pgMar w:header="719" w:footer="1016" w:top="920" w:bottom="1200" w:left="600" w:right="600"/>
        </w:sectPr>
      </w:pPr>
    </w:p>
    <w:p>
      <w:pPr>
        <w:spacing w:before="169"/>
        <w:ind w:left="802" w:right="0" w:firstLine="0"/>
        <w:jc w:val="left"/>
        <w:rPr>
          <w:rFonts w:ascii="Century Gothic"/>
          <w:sz w:val="17"/>
        </w:rPr>
      </w:pPr>
      <w:r>
        <w:rPr/>
        <w:pict>
          <v:shape style="position:absolute;margin-left:549.26593pt;margin-top:3.843399pt;width:26.7pt;height:41.85pt;mso-position-horizontal-relative:page;mso-position-vertical-relative:paragraph;z-index:1576" type="#_x0000_t202" filled="false" stroked="false">
            <v:textbox inset="0,0,0,0">
              <w:txbxContent>
                <w:p>
                  <w:pPr>
                    <w:spacing w:line="837" w:lineRule="exact" w:before="0"/>
                    <w:ind w:left="0" w:right="0" w:firstLine="0"/>
                    <w:jc w:val="left"/>
                    <w:rPr>
                      <w:rFonts w:ascii="Trebuchet MS" w:hAnsi="Trebuchet MS"/>
                      <w:sz w:val="82"/>
                    </w:rPr>
                  </w:pPr>
                  <w:r>
                    <w:rPr>
                      <w:rFonts w:ascii="Trebuchet MS" w:hAnsi="Trebuchet MS"/>
                      <w:w w:val="100"/>
                      <w:sz w:val="82"/>
                    </w:rPr>
                    <w:t>Ü</w:t>
                  </w:r>
                </w:p>
              </w:txbxContent>
            </v:textbox>
            <w10:wrap type="none"/>
          </v:shape>
        </w:pict>
      </w:r>
      <w:r>
        <w:rPr>
          <w:rFonts w:ascii="Century Gothic"/>
          <w:sz w:val="17"/>
        </w:rPr>
        <w:t>Loudoun County</w:t>
      </w:r>
    </w:p>
    <w:p>
      <w:pPr>
        <w:pStyle w:val="Heading4"/>
        <w:spacing w:line="244" w:lineRule="auto"/>
        <w:ind w:right="8078"/>
        <w:jc w:val="center"/>
      </w:pPr>
      <w:r>
        <w:rPr>
          <w:w w:val="90"/>
        </w:rPr>
        <w:t>Loudoun County and Surrounding Area</w:t>
      </w:r>
    </w:p>
    <w:p>
      <w:pPr>
        <w:spacing w:before="41"/>
        <w:ind w:left="740" w:right="0" w:firstLine="0"/>
        <w:jc w:val="left"/>
        <w:rPr>
          <w:rFonts w:ascii="Century Gothic"/>
          <w:sz w:val="17"/>
        </w:rPr>
      </w:pPr>
      <w:r>
        <w:rPr/>
        <w:pict>
          <v:shape style="position:absolute;margin-left:63.131699pt;margin-top:83.192017pt;width:30.7pt;height:8.75pt;mso-position-horizontal-relative:page;mso-position-vertical-relative:paragraph;z-index:-17656" type="#_x0000_t202" filled="false" stroked="false">
            <v:textbox inset="0,0,0,0">
              <w:txbxContent>
                <w:p>
                  <w:pPr>
                    <w:spacing w:before="1"/>
                    <w:ind w:left="0" w:right="0" w:firstLine="0"/>
                    <w:jc w:val="left"/>
                    <w:rPr>
                      <w:rFonts w:ascii="Arial"/>
                      <w:sz w:val="15"/>
                    </w:rPr>
                  </w:pPr>
                  <w:r>
                    <w:rPr>
                      <w:rFonts w:ascii="Arial"/>
                      <w:sz w:val="15"/>
                    </w:rPr>
                    <w:t>Berkeley</w:t>
                  </w:r>
                </w:p>
              </w:txbxContent>
            </v:textbox>
            <w10:wrap type="none"/>
          </v:shape>
        </w:pict>
      </w:r>
      <w:r>
        <w:rPr/>
        <w:pict>
          <v:group style="position:absolute;margin-left:35.950958pt;margin-top:17.030571pt;width:540.5pt;height:610.85pt;mso-position-horizontal-relative:page;mso-position-vertical-relative:paragraph;z-index:-17608" coordorigin="719,341" coordsize="10810,12217">
            <v:shape style="position:absolute;left:719;top:1019;width:10810;height:11538" type="#_x0000_t75" stroked="false">
              <v:imagedata r:id="rId26" o:title=""/>
            </v:shape>
            <v:shape style="position:absolute;left:1817;top:340;width:634;height:642" type="#_x0000_t75" stroked="false">
              <v:imagedata r:id="rId27" o:title=""/>
            </v:shape>
            <w10:wrap type="none"/>
          </v:group>
        </w:pict>
      </w:r>
      <w:r>
        <w:rPr>
          <w:rFonts w:ascii="Century Gothic"/>
          <w:sz w:val="17"/>
        </w:rPr>
        <w:t>2040 General Plan</w:t>
      </w:r>
    </w:p>
    <w:p>
      <w:pPr>
        <w:pStyle w:val="BodyText"/>
        <w:rPr>
          <w:rFonts w:ascii="Century Gothic"/>
          <w:sz w:val="20"/>
        </w:rPr>
      </w:pPr>
    </w:p>
    <w:p>
      <w:pPr>
        <w:pStyle w:val="BodyText"/>
        <w:rPr>
          <w:rFonts w:ascii="Century Gothic"/>
          <w:sz w:val="20"/>
        </w:rPr>
      </w:pPr>
    </w:p>
    <w:p>
      <w:pPr>
        <w:pStyle w:val="BodyText"/>
        <w:spacing w:before="9" w:after="1"/>
        <w:rPr>
          <w:rFonts w:ascii="Century Gothic"/>
          <w:sz w:val="22"/>
        </w:r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09"/>
        <w:gridCol w:w="426"/>
        <w:gridCol w:w="529"/>
        <w:gridCol w:w="1101"/>
        <w:gridCol w:w="542"/>
        <w:gridCol w:w="568"/>
        <w:gridCol w:w="1752"/>
        <w:gridCol w:w="1839"/>
        <w:gridCol w:w="689"/>
        <w:gridCol w:w="1338"/>
      </w:tblGrid>
      <w:tr>
        <w:trPr>
          <w:trHeight w:val="2063" w:hRule="atLeast"/>
        </w:trPr>
        <w:tc>
          <w:tcPr>
            <w:tcW w:w="2435" w:type="dxa"/>
            <w:gridSpan w:val="2"/>
            <w:tcBorders>
              <w:top w:val="single" w:sz="4" w:space="0" w:color="000000"/>
              <w:left w:val="single" w:sz="4" w:space="0" w:color="E60000"/>
              <w:bottom w:val="single" w:sz="4" w:space="0" w:color="000000"/>
              <w:right w:val="single" w:sz="4" w:space="0" w:color="000000"/>
            </w:tcBorders>
            <w:shd w:val="clear" w:color="auto" w:fill="FFFFFF"/>
          </w:tcPr>
          <w:p>
            <w:pPr>
              <w:pStyle w:val="TableParagraph"/>
              <w:spacing w:line="477" w:lineRule="exact"/>
              <w:ind w:left="56"/>
              <w:rPr>
                <w:sz w:val="21"/>
              </w:rPr>
            </w:pPr>
            <w:r>
              <w:rPr>
                <w:rFonts w:ascii="Verdana"/>
                <w:color w:val="FFFF00"/>
                <w:spacing w:val="-346"/>
                <w:w w:val="86"/>
                <w:position w:val="-4"/>
                <w:sz w:val="49"/>
              </w:rPr>
              <w:t>^</w:t>
            </w:r>
            <w:r>
              <w:rPr>
                <w:rFonts w:ascii="Verdana"/>
                <w:w w:val="110"/>
                <w:position w:val="-4"/>
                <w:sz w:val="49"/>
              </w:rPr>
              <w:t>_</w:t>
            </w:r>
            <w:r>
              <w:rPr>
                <w:rFonts w:ascii="Verdana"/>
                <w:spacing w:val="-82"/>
                <w:position w:val="-4"/>
                <w:sz w:val="49"/>
              </w:rPr>
              <w:t> </w:t>
            </w:r>
            <w:r>
              <w:rPr>
                <w:spacing w:val="0"/>
                <w:w w:val="101"/>
                <w:sz w:val="21"/>
              </w:rPr>
              <w:t>C</w:t>
            </w:r>
            <w:r>
              <w:rPr>
                <w:spacing w:val="3"/>
                <w:w w:val="101"/>
                <w:sz w:val="21"/>
              </w:rPr>
              <w:t>o</w:t>
            </w:r>
            <w:r>
              <w:rPr>
                <w:spacing w:val="-4"/>
                <w:w w:val="101"/>
                <w:sz w:val="21"/>
              </w:rPr>
              <w:t>u</w:t>
            </w:r>
            <w:r>
              <w:rPr>
                <w:spacing w:val="3"/>
                <w:w w:val="101"/>
                <w:sz w:val="21"/>
              </w:rPr>
              <w:t>n</w:t>
            </w:r>
            <w:r>
              <w:rPr>
                <w:spacing w:val="5"/>
                <w:w w:val="101"/>
                <w:sz w:val="21"/>
              </w:rPr>
              <w:t>t</w:t>
            </w:r>
            <w:r>
              <w:rPr>
                <w:w w:val="101"/>
                <w:sz w:val="21"/>
              </w:rPr>
              <w:t>y</w:t>
            </w:r>
            <w:r>
              <w:rPr>
                <w:spacing w:val="-1"/>
                <w:sz w:val="21"/>
              </w:rPr>
              <w:t> </w:t>
            </w:r>
            <w:r>
              <w:rPr>
                <w:spacing w:val="5"/>
                <w:w w:val="101"/>
                <w:sz w:val="21"/>
              </w:rPr>
              <w:t>S</w:t>
            </w:r>
            <w:r>
              <w:rPr>
                <w:spacing w:val="3"/>
                <w:w w:val="101"/>
                <w:sz w:val="21"/>
              </w:rPr>
              <w:t>ea</w:t>
            </w:r>
            <w:r>
              <w:rPr>
                <w:spacing w:val="-2"/>
                <w:w w:val="101"/>
                <w:sz w:val="21"/>
              </w:rPr>
              <w:t>t</w:t>
            </w:r>
            <w:r>
              <w:rPr>
                <w:w w:val="101"/>
                <w:sz w:val="21"/>
              </w:rPr>
              <w:t>s</w:t>
            </w:r>
          </w:p>
          <w:p>
            <w:pPr>
              <w:pStyle w:val="TableParagraph"/>
              <w:spacing w:line="314" w:lineRule="auto" w:before="45"/>
              <w:ind w:left="492"/>
              <w:rPr>
                <w:sz w:val="21"/>
              </w:rPr>
            </w:pPr>
            <w:r>
              <w:rPr>
                <w:sz w:val="21"/>
              </w:rPr>
              <w:t>Loudoun County District of Columbia Maryland</w:t>
            </w:r>
          </w:p>
          <w:p>
            <w:pPr>
              <w:pStyle w:val="TableParagraph"/>
              <w:spacing w:line="239" w:lineRule="exact"/>
              <w:ind w:left="492"/>
              <w:rPr>
                <w:sz w:val="21"/>
              </w:rPr>
            </w:pPr>
            <w:r>
              <w:rPr>
                <w:sz w:val="21"/>
              </w:rPr>
              <w:t>Virginia</w:t>
            </w:r>
          </w:p>
          <w:p>
            <w:pPr>
              <w:pStyle w:val="TableParagraph"/>
              <w:spacing w:before="79"/>
              <w:ind w:left="492"/>
              <w:rPr>
                <w:sz w:val="21"/>
              </w:rPr>
            </w:pPr>
            <w:r>
              <w:rPr>
                <w:sz w:val="21"/>
              </w:rPr>
              <w:t>West Virginia</w:t>
            </w:r>
          </w:p>
        </w:tc>
        <w:tc>
          <w:tcPr>
            <w:tcW w:w="1630" w:type="dxa"/>
            <w:gridSpan w:val="2"/>
            <w:tcBorders>
              <w:top w:val="single" w:sz="4" w:space="0" w:color="000000"/>
              <w:left w:val="single" w:sz="4" w:space="0" w:color="000000"/>
            </w:tcBorders>
          </w:tcPr>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2"/>
              </w:rPr>
            </w:pPr>
          </w:p>
          <w:p>
            <w:pPr>
              <w:pStyle w:val="TableParagraph"/>
              <w:ind w:left="356"/>
              <w:rPr>
                <w:sz w:val="15"/>
              </w:rPr>
            </w:pPr>
            <w:r>
              <w:rPr>
                <w:w w:val="105"/>
                <w:sz w:val="15"/>
              </w:rPr>
              <w:t>Washington</w:t>
            </w:r>
          </w:p>
        </w:tc>
        <w:tc>
          <w:tcPr>
            <w:tcW w:w="542" w:type="dxa"/>
            <w:tcBorders>
              <w:top w:val="single" w:sz="4" w:space="0" w:color="000000"/>
            </w:tcBorders>
          </w:tcPr>
          <w:p>
            <w:pPr>
              <w:pStyle w:val="TableParagraph"/>
              <w:rPr>
                <w:rFonts w:ascii="Times New Roman"/>
                <w:sz w:val="16"/>
              </w:rPr>
            </w:pPr>
          </w:p>
        </w:tc>
        <w:tc>
          <w:tcPr>
            <w:tcW w:w="568" w:type="dxa"/>
            <w:tcBorders>
              <w:top w:val="single" w:sz="4" w:space="0" w:color="000000"/>
            </w:tcBorders>
          </w:tcPr>
          <w:p>
            <w:pPr>
              <w:pStyle w:val="TableParagraph"/>
              <w:rPr>
                <w:rFonts w:ascii="Times New Roman"/>
                <w:sz w:val="16"/>
              </w:rPr>
            </w:pPr>
          </w:p>
        </w:tc>
        <w:tc>
          <w:tcPr>
            <w:tcW w:w="1752" w:type="dxa"/>
            <w:tcBorders>
              <w:top w:val="single" w:sz="4" w:space="0" w:color="000000"/>
            </w:tcBorders>
          </w:tcPr>
          <w:p>
            <w:pPr>
              <w:pStyle w:val="TableParagraph"/>
              <w:spacing w:before="6"/>
              <w:rPr>
                <w:rFonts w:ascii="Century Gothic"/>
                <w:sz w:val="71"/>
              </w:rPr>
            </w:pPr>
          </w:p>
          <w:p>
            <w:pPr>
              <w:pStyle w:val="TableParagraph"/>
              <w:ind w:left="1022"/>
              <w:rPr>
                <w:rFonts w:ascii="Verdana"/>
                <w:sz w:val="49"/>
              </w:rPr>
            </w:pPr>
            <w:r>
              <w:rPr>
                <w:rFonts w:ascii="Verdana"/>
                <w:color w:val="FFFF00"/>
                <w:spacing w:val="-346"/>
                <w:w w:val="86"/>
                <w:sz w:val="49"/>
              </w:rPr>
              <w:t>^</w:t>
            </w:r>
            <w:r>
              <w:rPr>
                <w:rFonts w:ascii="Verdana"/>
                <w:w w:val="110"/>
                <w:sz w:val="49"/>
              </w:rPr>
              <w:t>_</w:t>
            </w:r>
          </w:p>
          <w:p>
            <w:pPr>
              <w:pStyle w:val="TableParagraph"/>
              <w:spacing w:before="250"/>
              <w:ind w:left="644"/>
              <w:rPr>
                <w:sz w:val="15"/>
              </w:rPr>
            </w:pPr>
            <w:r>
              <w:rPr>
                <w:w w:val="105"/>
                <w:sz w:val="15"/>
              </w:rPr>
              <w:t>Frederick</w:t>
            </w:r>
          </w:p>
        </w:tc>
        <w:tc>
          <w:tcPr>
            <w:tcW w:w="1839" w:type="dxa"/>
            <w:tcBorders>
              <w:top w:val="single" w:sz="4" w:space="0" w:color="000000"/>
            </w:tcBorders>
          </w:tcPr>
          <w:p>
            <w:pPr>
              <w:pStyle w:val="TableParagraph"/>
              <w:rPr>
                <w:rFonts w:ascii="Times New Roman"/>
                <w:sz w:val="16"/>
              </w:rPr>
            </w:pPr>
          </w:p>
        </w:tc>
        <w:tc>
          <w:tcPr>
            <w:tcW w:w="689" w:type="dxa"/>
            <w:tcBorders>
              <w:top w:val="single" w:sz="4" w:space="0" w:color="000000"/>
            </w:tcBorders>
          </w:tcPr>
          <w:p>
            <w:pPr>
              <w:pStyle w:val="TableParagraph"/>
              <w:rPr>
                <w:rFonts w:ascii="Times New Roman"/>
                <w:sz w:val="16"/>
              </w:rPr>
            </w:pPr>
          </w:p>
        </w:tc>
        <w:tc>
          <w:tcPr>
            <w:tcW w:w="1338" w:type="dxa"/>
            <w:tcBorders>
              <w:top w:val="single" w:sz="4" w:space="0" w:color="000000"/>
              <w:right w:val="single" w:sz="4" w:space="0" w:color="000000"/>
            </w:tcBorders>
          </w:tcPr>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spacing w:before="8"/>
              <w:rPr>
                <w:rFonts w:ascii="Century Gothic"/>
                <w:sz w:val="20"/>
              </w:rPr>
            </w:pPr>
          </w:p>
          <w:p>
            <w:pPr>
              <w:pStyle w:val="TableParagraph"/>
              <w:ind w:left="185"/>
              <w:rPr>
                <w:sz w:val="15"/>
              </w:rPr>
            </w:pPr>
            <w:r>
              <w:rPr>
                <w:w w:val="105"/>
                <w:sz w:val="15"/>
              </w:rPr>
              <w:t>Carroll</w:t>
            </w:r>
          </w:p>
        </w:tc>
      </w:tr>
      <w:tr>
        <w:trPr>
          <w:trHeight w:val="9436" w:hRule="atLeast"/>
        </w:trPr>
        <w:tc>
          <w:tcPr>
            <w:tcW w:w="2009" w:type="dxa"/>
            <w:tcBorders>
              <w:top w:val="single" w:sz="4" w:space="0" w:color="000000"/>
              <w:left w:val="single" w:sz="4" w:space="0" w:color="000000"/>
              <w:bottom w:val="single" w:sz="4" w:space="0" w:color="000000"/>
            </w:tcBorders>
          </w:tcPr>
          <w:p>
            <w:pPr>
              <w:pStyle w:val="TableParagraph"/>
              <w:spacing w:before="8"/>
              <w:rPr>
                <w:rFonts w:ascii="Century Gothic"/>
                <w:sz w:val="19"/>
              </w:rPr>
            </w:pPr>
          </w:p>
          <w:p>
            <w:pPr>
              <w:pStyle w:val="TableParagraph"/>
              <w:ind w:left="1064"/>
              <w:rPr>
                <w:sz w:val="15"/>
              </w:rPr>
            </w:pPr>
            <w:r>
              <w:rPr>
                <w:w w:val="105"/>
                <w:sz w:val="15"/>
              </w:rPr>
              <w:t>Jefferson</w:t>
            </w:r>
          </w:p>
          <w:p>
            <w:pPr>
              <w:pStyle w:val="TableParagraph"/>
              <w:spacing w:before="134"/>
              <w:ind w:right="143"/>
              <w:jc w:val="right"/>
              <w:rPr>
                <w:rFonts w:ascii="Verdana"/>
                <w:sz w:val="49"/>
              </w:rPr>
            </w:pPr>
            <w:r>
              <w:rPr>
                <w:rFonts w:ascii="Verdana"/>
                <w:spacing w:val="-346"/>
                <w:w w:val="110"/>
                <w:sz w:val="49"/>
              </w:rPr>
              <w:t>_</w:t>
            </w:r>
            <w:r>
              <w:rPr>
                <w:rFonts w:ascii="Verdana"/>
                <w:color w:val="FFFF00"/>
                <w:w w:val="86"/>
                <w:sz w:val="49"/>
              </w:rPr>
              <w:t>^</w:t>
            </w:r>
          </w:p>
          <w:p>
            <w:pPr>
              <w:pStyle w:val="TableParagraph"/>
              <w:rPr>
                <w:rFonts w:ascii="Century Gothic"/>
                <w:sz w:val="48"/>
              </w:rPr>
            </w:pPr>
          </w:p>
          <w:p>
            <w:pPr>
              <w:pStyle w:val="TableParagraph"/>
              <w:spacing w:before="1"/>
              <w:rPr>
                <w:rFonts w:ascii="Century Gothic"/>
                <w:sz w:val="55"/>
              </w:rPr>
            </w:pPr>
          </w:p>
          <w:p>
            <w:pPr>
              <w:pStyle w:val="TableParagraph"/>
              <w:ind w:left="65"/>
              <w:rPr>
                <w:rFonts w:ascii="Verdana"/>
                <w:sz w:val="49"/>
              </w:rPr>
            </w:pPr>
            <w:r>
              <w:rPr>
                <w:rFonts w:ascii="Verdana"/>
                <w:color w:val="FFFF00"/>
                <w:spacing w:val="-346"/>
                <w:w w:val="86"/>
                <w:sz w:val="49"/>
              </w:rPr>
              <w:t>^</w:t>
            </w:r>
            <w:r>
              <w:rPr>
                <w:rFonts w:ascii="Verdana"/>
                <w:w w:val="110"/>
                <w:sz w:val="49"/>
              </w:rPr>
              <w:t>_</w:t>
            </w:r>
          </w:p>
          <w:p>
            <w:pPr>
              <w:pStyle w:val="TableParagraph"/>
              <w:spacing w:before="94"/>
              <w:ind w:left="599"/>
              <w:rPr>
                <w:sz w:val="15"/>
              </w:rPr>
            </w:pPr>
            <w:r>
              <w:rPr>
                <w:w w:val="105"/>
                <w:sz w:val="15"/>
              </w:rPr>
              <w:t>Clarke</w:t>
            </w: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spacing w:before="3"/>
              <w:rPr>
                <w:rFonts w:ascii="Century Gothic"/>
                <w:sz w:val="12"/>
              </w:rPr>
            </w:pPr>
          </w:p>
          <w:p>
            <w:pPr>
              <w:pStyle w:val="TableParagraph"/>
              <w:spacing w:before="1"/>
              <w:ind w:left="7"/>
              <w:rPr>
                <w:sz w:val="15"/>
              </w:rPr>
            </w:pPr>
            <w:r>
              <w:rPr>
                <w:w w:val="105"/>
                <w:sz w:val="15"/>
              </w:rPr>
              <w:t>Warren</w:t>
            </w: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spacing w:before="109"/>
              <w:ind w:right="132"/>
              <w:jc w:val="right"/>
              <w:rPr>
                <w:sz w:val="15"/>
              </w:rPr>
            </w:pPr>
            <w:r>
              <w:rPr>
                <w:w w:val="105"/>
                <w:sz w:val="15"/>
              </w:rPr>
              <w:t>Fauquier</w:t>
            </w: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spacing w:before="120"/>
              <w:ind w:left="23"/>
              <w:rPr>
                <w:sz w:val="15"/>
              </w:rPr>
            </w:pPr>
            <w:r>
              <w:rPr>
                <w:w w:val="105"/>
                <w:sz w:val="15"/>
              </w:rPr>
              <w:t>Rappahannock</w:t>
            </w:r>
          </w:p>
          <w:p>
            <w:pPr>
              <w:pStyle w:val="TableParagraph"/>
              <w:spacing w:before="123"/>
              <w:ind w:left="550"/>
              <w:rPr>
                <w:sz w:val="15"/>
              </w:rPr>
            </w:pPr>
            <w:r>
              <w:rPr>
                <w:w w:val="105"/>
                <w:sz w:val="15"/>
              </w:rPr>
              <w:t>Culpeper</w:t>
            </w:r>
          </w:p>
        </w:tc>
        <w:tc>
          <w:tcPr>
            <w:tcW w:w="955" w:type="dxa"/>
            <w:gridSpan w:val="2"/>
            <w:tcBorders>
              <w:bottom w:val="single" w:sz="4" w:space="0" w:color="000000"/>
            </w:tcBorders>
          </w:tcPr>
          <w:p>
            <w:pPr>
              <w:pStyle w:val="TableParagraph"/>
              <w:rPr>
                <w:rFonts w:ascii="Century Gothic"/>
                <w:sz w:val="48"/>
              </w:rPr>
            </w:pPr>
          </w:p>
          <w:p>
            <w:pPr>
              <w:pStyle w:val="TableParagraph"/>
              <w:rPr>
                <w:rFonts w:ascii="Century Gothic"/>
                <w:sz w:val="48"/>
              </w:rPr>
            </w:pPr>
          </w:p>
          <w:p>
            <w:pPr>
              <w:pStyle w:val="TableParagraph"/>
              <w:rPr>
                <w:rFonts w:ascii="Century Gothic"/>
                <w:sz w:val="48"/>
              </w:rPr>
            </w:pPr>
          </w:p>
          <w:p>
            <w:pPr>
              <w:pStyle w:val="TableParagraph"/>
              <w:rPr>
                <w:rFonts w:ascii="Century Gothic"/>
                <w:sz w:val="48"/>
              </w:rPr>
            </w:pPr>
          </w:p>
          <w:p>
            <w:pPr>
              <w:pStyle w:val="TableParagraph"/>
              <w:rPr>
                <w:rFonts w:ascii="Century Gothic"/>
                <w:sz w:val="48"/>
              </w:rPr>
            </w:pPr>
          </w:p>
          <w:p>
            <w:pPr>
              <w:pStyle w:val="TableParagraph"/>
              <w:rPr>
                <w:rFonts w:ascii="Century Gothic"/>
                <w:sz w:val="48"/>
              </w:rPr>
            </w:pPr>
          </w:p>
          <w:p>
            <w:pPr>
              <w:pStyle w:val="TableParagraph"/>
              <w:rPr>
                <w:rFonts w:ascii="Century Gothic"/>
                <w:sz w:val="48"/>
              </w:rPr>
            </w:pPr>
          </w:p>
          <w:p>
            <w:pPr>
              <w:pStyle w:val="TableParagraph"/>
              <w:rPr>
                <w:rFonts w:ascii="Century Gothic"/>
                <w:sz w:val="48"/>
              </w:rPr>
            </w:pPr>
          </w:p>
          <w:p>
            <w:pPr>
              <w:pStyle w:val="TableParagraph"/>
              <w:rPr>
                <w:rFonts w:ascii="Century Gothic"/>
                <w:sz w:val="48"/>
              </w:rPr>
            </w:pPr>
          </w:p>
          <w:p>
            <w:pPr>
              <w:pStyle w:val="TableParagraph"/>
              <w:rPr>
                <w:rFonts w:ascii="Century Gothic"/>
                <w:sz w:val="48"/>
              </w:rPr>
            </w:pPr>
          </w:p>
          <w:p>
            <w:pPr>
              <w:pStyle w:val="TableParagraph"/>
              <w:rPr>
                <w:rFonts w:ascii="Century Gothic"/>
                <w:sz w:val="48"/>
              </w:rPr>
            </w:pPr>
          </w:p>
          <w:p>
            <w:pPr>
              <w:pStyle w:val="TableParagraph"/>
              <w:rPr>
                <w:rFonts w:ascii="Century Gothic"/>
                <w:sz w:val="48"/>
              </w:rPr>
            </w:pPr>
          </w:p>
          <w:p>
            <w:pPr>
              <w:pStyle w:val="TableParagraph"/>
              <w:rPr>
                <w:rFonts w:ascii="Century Gothic"/>
                <w:sz w:val="48"/>
              </w:rPr>
            </w:pPr>
          </w:p>
          <w:p>
            <w:pPr>
              <w:pStyle w:val="TableParagraph"/>
              <w:rPr>
                <w:rFonts w:ascii="Century Gothic"/>
                <w:sz w:val="71"/>
              </w:rPr>
            </w:pPr>
          </w:p>
          <w:p>
            <w:pPr>
              <w:pStyle w:val="TableParagraph"/>
              <w:ind w:left="142"/>
              <w:rPr>
                <w:rFonts w:ascii="Verdana"/>
                <w:sz w:val="49"/>
              </w:rPr>
            </w:pPr>
            <w:r>
              <w:rPr>
                <w:rFonts w:ascii="Verdana"/>
                <w:color w:val="FFFF00"/>
                <w:spacing w:val="-346"/>
                <w:w w:val="86"/>
                <w:sz w:val="49"/>
              </w:rPr>
              <w:t>^</w:t>
            </w:r>
            <w:r>
              <w:rPr>
                <w:rFonts w:ascii="Verdana"/>
                <w:w w:val="110"/>
                <w:sz w:val="49"/>
              </w:rPr>
              <w:t>_</w:t>
            </w:r>
          </w:p>
        </w:tc>
        <w:tc>
          <w:tcPr>
            <w:tcW w:w="1101" w:type="dxa"/>
            <w:tcBorders>
              <w:bottom w:val="single" w:sz="4" w:space="0" w:color="000000"/>
            </w:tcBorders>
          </w:tcPr>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spacing w:before="6"/>
              <w:rPr>
                <w:rFonts w:ascii="Century Gothic"/>
                <w:sz w:val="21"/>
              </w:rPr>
            </w:pPr>
          </w:p>
          <w:p>
            <w:pPr>
              <w:pStyle w:val="TableParagraph"/>
              <w:ind w:left="474"/>
              <w:rPr>
                <w:sz w:val="15"/>
              </w:rPr>
            </w:pPr>
            <w:r>
              <w:rPr>
                <w:w w:val="105"/>
                <w:sz w:val="15"/>
              </w:rPr>
              <w:t>Loudoun</w:t>
            </w:r>
          </w:p>
        </w:tc>
        <w:tc>
          <w:tcPr>
            <w:tcW w:w="542" w:type="dxa"/>
            <w:tcBorders>
              <w:bottom w:val="single" w:sz="4" w:space="0" w:color="000000"/>
            </w:tcBorders>
          </w:tcPr>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spacing w:before="2"/>
              <w:rPr>
                <w:rFonts w:ascii="Century Gothic"/>
                <w:sz w:val="22"/>
              </w:rPr>
            </w:pPr>
          </w:p>
          <w:p>
            <w:pPr>
              <w:pStyle w:val="TableParagraph"/>
              <w:spacing w:line="252" w:lineRule="auto"/>
              <w:ind w:left="19" w:right="-5" w:firstLine="28"/>
              <w:rPr>
                <w:sz w:val="15"/>
              </w:rPr>
            </w:pPr>
            <w:r>
              <w:rPr>
                <w:w w:val="105"/>
                <w:sz w:val="15"/>
              </w:rPr>
              <w:t>Prince William</w:t>
            </w:r>
          </w:p>
        </w:tc>
        <w:tc>
          <w:tcPr>
            <w:tcW w:w="568" w:type="dxa"/>
            <w:tcBorders>
              <w:bottom w:val="single" w:sz="4" w:space="0" w:color="000000"/>
            </w:tcBorders>
          </w:tcPr>
          <w:p>
            <w:pPr>
              <w:pStyle w:val="TableParagraph"/>
              <w:rPr>
                <w:rFonts w:ascii="Century Gothic"/>
                <w:sz w:val="48"/>
              </w:rPr>
            </w:pPr>
          </w:p>
          <w:p>
            <w:pPr>
              <w:pStyle w:val="TableParagraph"/>
              <w:rPr>
                <w:rFonts w:ascii="Century Gothic"/>
                <w:sz w:val="48"/>
              </w:rPr>
            </w:pPr>
          </w:p>
          <w:p>
            <w:pPr>
              <w:pStyle w:val="TableParagraph"/>
              <w:rPr>
                <w:rFonts w:ascii="Century Gothic"/>
                <w:sz w:val="48"/>
              </w:rPr>
            </w:pPr>
          </w:p>
          <w:p>
            <w:pPr>
              <w:pStyle w:val="TableParagraph"/>
              <w:rPr>
                <w:rFonts w:ascii="Century Gothic"/>
                <w:sz w:val="48"/>
              </w:rPr>
            </w:pPr>
          </w:p>
          <w:p>
            <w:pPr>
              <w:pStyle w:val="TableParagraph"/>
              <w:spacing w:before="7"/>
              <w:rPr>
                <w:rFonts w:ascii="Century Gothic"/>
                <w:sz w:val="42"/>
              </w:rPr>
            </w:pPr>
          </w:p>
          <w:p>
            <w:pPr>
              <w:pStyle w:val="TableParagraph"/>
              <w:ind w:left="19"/>
              <w:rPr>
                <w:rFonts w:ascii="Verdana"/>
                <w:sz w:val="49"/>
              </w:rPr>
            </w:pPr>
            <w:r>
              <w:rPr>
                <w:rFonts w:ascii="Verdana"/>
                <w:spacing w:val="-346"/>
                <w:w w:val="110"/>
                <w:sz w:val="49"/>
              </w:rPr>
              <w:t>_</w:t>
            </w:r>
            <w:r>
              <w:rPr>
                <w:rFonts w:ascii="Verdana"/>
                <w:color w:val="FFFF00"/>
                <w:w w:val="86"/>
                <w:sz w:val="49"/>
              </w:rPr>
              <w:t>^</w:t>
            </w:r>
          </w:p>
        </w:tc>
        <w:tc>
          <w:tcPr>
            <w:tcW w:w="1752" w:type="dxa"/>
            <w:tcBorders>
              <w:bottom w:val="single" w:sz="4" w:space="0" w:color="000000"/>
            </w:tcBorders>
          </w:tcPr>
          <w:p>
            <w:pPr>
              <w:pStyle w:val="TableParagraph"/>
              <w:rPr>
                <w:rFonts w:ascii="Century Gothic"/>
                <w:sz w:val="48"/>
              </w:rPr>
            </w:pPr>
          </w:p>
          <w:p>
            <w:pPr>
              <w:pStyle w:val="TableParagraph"/>
              <w:rPr>
                <w:rFonts w:ascii="Century Gothic"/>
                <w:sz w:val="48"/>
              </w:rPr>
            </w:pPr>
          </w:p>
          <w:p>
            <w:pPr>
              <w:pStyle w:val="TableParagraph"/>
              <w:rPr>
                <w:rFonts w:ascii="Century Gothic"/>
                <w:sz w:val="48"/>
              </w:rPr>
            </w:pPr>
          </w:p>
          <w:p>
            <w:pPr>
              <w:pStyle w:val="TableParagraph"/>
              <w:rPr>
                <w:rFonts w:ascii="Century Gothic"/>
                <w:sz w:val="48"/>
              </w:rPr>
            </w:pPr>
          </w:p>
          <w:p>
            <w:pPr>
              <w:pStyle w:val="TableParagraph"/>
              <w:rPr>
                <w:rFonts w:ascii="Century Gothic"/>
                <w:sz w:val="48"/>
              </w:rPr>
            </w:pPr>
          </w:p>
          <w:p>
            <w:pPr>
              <w:pStyle w:val="TableParagraph"/>
              <w:rPr>
                <w:rFonts w:ascii="Century Gothic"/>
                <w:sz w:val="48"/>
              </w:rPr>
            </w:pPr>
          </w:p>
          <w:p>
            <w:pPr>
              <w:pStyle w:val="TableParagraph"/>
              <w:rPr>
                <w:rFonts w:ascii="Century Gothic"/>
                <w:sz w:val="48"/>
              </w:rPr>
            </w:pPr>
          </w:p>
          <w:p>
            <w:pPr>
              <w:pStyle w:val="TableParagraph"/>
              <w:rPr>
                <w:rFonts w:ascii="Century Gothic"/>
                <w:sz w:val="48"/>
              </w:rPr>
            </w:pPr>
          </w:p>
          <w:p>
            <w:pPr>
              <w:pStyle w:val="TableParagraph"/>
              <w:rPr>
                <w:rFonts w:ascii="Century Gothic"/>
                <w:sz w:val="48"/>
              </w:rPr>
            </w:pPr>
          </w:p>
          <w:p>
            <w:pPr>
              <w:pStyle w:val="TableParagraph"/>
              <w:rPr>
                <w:rFonts w:ascii="Century Gothic"/>
                <w:sz w:val="48"/>
              </w:rPr>
            </w:pPr>
          </w:p>
          <w:p>
            <w:pPr>
              <w:pStyle w:val="TableParagraph"/>
              <w:rPr>
                <w:rFonts w:ascii="Century Gothic"/>
                <w:sz w:val="48"/>
              </w:rPr>
            </w:pPr>
          </w:p>
          <w:p>
            <w:pPr>
              <w:pStyle w:val="TableParagraph"/>
              <w:rPr>
                <w:rFonts w:ascii="Century Gothic"/>
                <w:sz w:val="48"/>
              </w:rPr>
            </w:pPr>
          </w:p>
          <w:p>
            <w:pPr>
              <w:pStyle w:val="TableParagraph"/>
              <w:spacing w:before="1"/>
              <w:rPr>
                <w:rFonts w:ascii="Century Gothic"/>
                <w:sz w:val="55"/>
              </w:rPr>
            </w:pPr>
          </w:p>
          <w:p>
            <w:pPr>
              <w:pStyle w:val="TableParagraph"/>
              <w:spacing w:line="316" w:lineRule="auto"/>
              <w:ind w:left="208" w:right="410" w:firstLine="28"/>
              <w:rPr>
                <w:sz w:val="15"/>
              </w:rPr>
            </w:pPr>
            <w:r>
              <w:rPr>
                <w:w w:val="105"/>
                <w:sz w:val="15"/>
              </w:rPr>
              <w:t>Manassas Park </w:t>
            </w:r>
            <w:r>
              <w:rPr>
                <w:spacing w:val="0"/>
                <w:w w:val="104"/>
                <w:sz w:val="15"/>
              </w:rPr>
              <w:t>M</w:t>
            </w:r>
            <w:r>
              <w:rPr>
                <w:spacing w:val="-5"/>
                <w:w w:val="104"/>
                <w:sz w:val="15"/>
              </w:rPr>
              <w:t>a</w:t>
            </w:r>
            <w:r>
              <w:rPr>
                <w:spacing w:val="-38"/>
                <w:w w:val="104"/>
                <w:sz w:val="15"/>
              </w:rPr>
              <w:t>n</w:t>
            </w:r>
            <w:r>
              <w:rPr>
                <w:rFonts w:ascii="Verdana"/>
                <w:spacing w:val="-346"/>
                <w:w w:val="110"/>
                <w:position w:val="-29"/>
                <w:sz w:val="49"/>
              </w:rPr>
              <w:t>_</w:t>
            </w:r>
            <w:r>
              <w:rPr>
                <w:rFonts w:ascii="Verdana"/>
                <w:color w:val="FFFF00"/>
                <w:spacing w:val="-305"/>
                <w:w w:val="86"/>
                <w:position w:val="-29"/>
                <w:sz w:val="49"/>
              </w:rPr>
              <w:t>^</w:t>
            </w:r>
            <w:r>
              <w:rPr>
                <w:spacing w:val="2"/>
                <w:w w:val="104"/>
                <w:sz w:val="15"/>
              </w:rPr>
              <w:t>a</w:t>
            </w:r>
            <w:r>
              <w:rPr>
                <w:spacing w:val="3"/>
                <w:w w:val="104"/>
                <w:sz w:val="15"/>
              </w:rPr>
              <w:t>s</w:t>
            </w:r>
            <w:r>
              <w:rPr>
                <w:spacing w:val="-5"/>
                <w:w w:val="104"/>
                <w:sz w:val="15"/>
              </w:rPr>
              <w:t>s</w:t>
            </w:r>
            <w:r>
              <w:rPr>
                <w:spacing w:val="2"/>
                <w:w w:val="104"/>
                <w:sz w:val="15"/>
              </w:rPr>
              <w:t>a</w:t>
            </w:r>
            <w:r>
              <w:rPr>
                <w:w w:val="104"/>
                <w:sz w:val="15"/>
              </w:rPr>
              <w:t>s</w:t>
            </w:r>
          </w:p>
        </w:tc>
        <w:tc>
          <w:tcPr>
            <w:tcW w:w="1839" w:type="dxa"/>
            <w:tcBorders>
              <w:bottom w:val="single" w:sz="4" w:space="0" w:color="000000"/>
            </w:tcBorders>
          </w:tcPr>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spacing w:before="11"/>
              <w:rPr>
                <w:rFonts w:ascii="Century Gothic"/>
                <w:sz w:val="12"/>
              </w:rPr>
            </w:pPr>
          </w:p>
          <w:p>
            <w:pPr>
              <w:pStyle w:val="TableParagraph"/>
              <w:ind w:left="879" w:right="43"/>
              <w:jc w:val="center"/>
              <w:rPr>
                <w:sz w:val="15"/>
              </w:rPr>
            </w:pPr>
            <w:r>
              <w:rPr>
                <w:w w:val="105"/>
                <w:sz w:val="15"/>
              </w:rPr>
              <w:t>Montgomery</w:t>
            </w: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spacing w:before="11"/>
              <w:rPr>
                <w:rFonts w:ascii="Century Gothic"/>
                <w:sz w:val="15"/>
              </w:rPr>
            </w:pPr>
          </w:p>
          <w:p>
            <w:pPr>
              <w:pStyle w:val="TableParagraph"/>
              <w:spacing w:before="1"/>
              <w:ind w:left="389"/>
              <w:rPr>
                <w:sz w:val="15"/>
              </w:rPr>
            </w:pPr>
            <w:r>
              <w:rPr>
                <w:spacing w:val="-5"/>
                <w:w w:val="104"/>
                <w:sz w:val="15"/>
              </w:rPr>
              <w:t>F</w:t>
            </w:r>
            <w:r>
              <w:rPr>
                <w:spacing w:val="-4"/>
                <w:w w:val="104"/>
                <w:sz w:val="15"/>
              </w:rPr>
              <w:t>a</w:t>
            </w:r>
            <w:r>
              <w:rPr>
                <w:rFonts w:ascii="Verdana"/>
                <w:color w:val="FFFF00"/>
                <w:spacing w:val="-346"/>
                <w:w w:val="86"/>
                <w:position w:val="-29"/>
                <w:sz w:val="49"/>
              </w:rPr>
              <w:t>^</w:t>
            </w:r>
            <w:r>
              <w:rPr>
                <w:rFonts w:ascii="Verdana"/>
                <w:spacing w:val="-330"/>
                <w:w w:val="110"/>
                <w:position w:val="-29"/>
                <w:sz w:val="49"/>
              </w:rPr>
              <w:t>_</w:t>
            </w:r>
            <w:r>
              <w:rPr>
                <w:spacing w:val="-2"/>
                <w:w w:val="104"/>
                <w:sz w:val="15"/>
              </w:rPr>
              <w:t>i</w:t>
            </w:r>
            <w:r>
              <w:rPr>
                <w:spacing w:val="5"/>
                <w:w w:val="104"/>
                <w:sz w:val="15"/>
              </w:rPr>
              <w:t>r</w:t>
            </w:r>
            <w:r>
              <w:rPr>
                <w:spacing w:val="-3"/>
                <w:w w:val="104"/>
                <w:sz w:val="15"/>
              </w:rPr>
              <w:t>f</w:t>
            </w:r>
            <w:r>
              <w:rPr>
                <w:spacing w:val="2"/>
                <w:w w:val="104"/>
                <w:sz w:val="15"/>
              </w:rPr>
              <w:t>a</w:t>
            </w:r>
            <w:r>
              <w:rPr>
                <w:w w:val="104"/>
                <w:sz w:val="15"/>
              </w:rPr>
              <w:t>x</w:t>
            </w:r>
            <w:r>
              <w:rPr>
                <w:spacing w:val="2"/>
                <w:sz w:val="15"/>
              </w:rPr>
              <w:t> </w:t>
            </w:r>
            <w:r>
              <w:rPr>
                <w:spacing w:val="1"/>
                <w:w w:val="104"/>
                <w:sz w:val="15"/>
              </w:rPr>
              <w:t>C</w:t>
            </w:r>
            <w:r>
              <w:rPr>
                <w:spacing w:val="5"/>
                <w:w w:val="104"/>
                <w:sz w:val="15"/>
              </w:rPr>
              <w:t>i</w:t>
            </w:r>
            <w:r>
              <w:rPr>
                <w:spacing w:val="-3"/>
                <w:w w:val="104"/>
                <w:sz w:val="15"/>
              </w:rPr>
              <w:t>t</w:t>
            </w:r>
            <w:r>
              <w:rPr>
                <w:w w:val="104"/>
                <w:sz w:val="15"/>
              </w:rPr>
              <w:t>y</w:t>
            </w:r>
          </w:p>
          <w:p>
            <w:pPr>
              <w:pStyle w:val="TableParagraph"/>
              <w:spacing w:before="12"/>
              <w:rPr>
                <w:rFonts w:ascii="Century Gothic"/>
                <w:sz w:val="52"/>
              </w:rPr>
            </w:pPr>
          </w:p>
          <w:p>
            <w:pPr>
              <w:pStyle w:val="TableParagraph"/>
              <w:ind w:left="879" w:right="18"/>
              <w:jc w:val="center"/>
              <w:rPr>
                <w:sz w:val="15"/>
              </w:rPr>
            </w:pPr>
            <w:r>
              <w:rPr>
                <w:w w:val="105"/>
                <w:sz w:val="15"/>
              </w:rPr>
              <w:t>Fairfax</w:t>
            </w:r>
          </w:p>
        </w:tc>
        <w:tc>
          <w:tcPr>
            <w:tcW w:w="689" w:type="dxa"/>
            <w:tcBorders>
              <w:bottom w:val="single" w:sz="4" w:space="0" w:color="000000"/>
            </w:tcBorders>
          </w:tcPr>
          <w:p>
            <w:pPr>
              <w:pStyle w:val="TableParagraph"/>
              <w:rPr>
                <w:rFonts w:ascii="Century Gothic"/>
                <w:sz w:val="48"/>
              </w:rPr>
            </w:pPr>
          </w:p>
          <w:p>
            <w:pPr>
              <w:pStyle w:val="TableParagraph"/>
              <w:rPr>
                <w:rFonts w:ascii="Century Gothic"/>
                <w:sz w:val="48"/>
              </w:rPr>
            </w:pPr>
          </w:p>
          <w:p>
            <w:pPr>
              <w:pStyle w:val="TableParagraph"/>
              <w:rPr>
                <w:rFonts w:ascii="Century Gothic"/>
                <w:sz w:val="48"/>
              </w:rPr>
            </w:pPr>
          </w:p>
          <w:p>
            <w:pPr>
              <w:pStyle w:val="TableParagraph"/>
              <w:rPr>
                <w:rFonts w:ascii="Century Gothic"/>
                <w:sz w:val="48"/>
              </w:rPr>
            </w:pPr>
          </w:p>
          <w:p>
            <w:pPr>
              <w:pStyle w:val="TableParagraph"/>
              <w:rPr>
                <w:rFonts w:ascii="Century Gothic"/>
                <w:sz w:val="48"/>
              </w:rPr>
            </w:pPr>
          </w:p>
          <w:p>
            <w:pPr>
              <w:pStyle w:val="TableParagraph"/>
              <w:spacing w:before="304"/>
              <w:ind w:left="105"/>
              <w:rPr>
                <w:rFonts w:ascii="Verdana"/>
                <w:sz w:val="49"/>
              </w:rPr>
            </w:pPr>
            <w:r>
              <w:rPr>
                <w:rFonts w:ascii="Verdana"/>
                <w:color w:val="FFFF00"/>
                <w:spacing w:val="-346"/>
                <w:w w:val="86"/>
                <w:sz w:val="49"/>
              </w:rPr>
              <w:t>^</w:t>
            </w:r>
            <w:r>
              <w:rPr>
                <w:rFonts w:ascii="Verdana"/>
                <w:w w:val="110"/>
                <w:sz w:val="49"/>
              </w:rPr>
              <w:t>_</w:t>
            </w:r>
          </w:p>
          <w:p>
            <w:pPr>
              <w:pStyle w:val="TableParagraph"/>
              <w:rPr>
                <w:rFonts w:ascii="Century Gothic"/>
                <w:sz w:val="48"/>
              </w:rPr>
            </w:pPr>
          </w:p>
          <w:p>
            <w:pPr>
              <w:pStyle w:val="TableParagraph"/>
              <w:rPr>
                <w:rFonts w:ascii="Century Gothic"/>
                <w:sz w:val="48"/>
              </w:rPr>
            </w:pPr>
          </w:p>
          <w:p>
            <w:pPr>
              <w:pStyle w:val="TableParagraph"/>
              <w:rPr>
                <w:rFonts w:ascii="Century Gothic"/>
                <w:sz w:val="48"/>
              </w:rPr>
            </w:pPr>
          </w:p>
          <w:p>
            <w:pPr>
              <w:pStyle w:val="TableParagraph"/>
              <w:spacing w:before="2"/>
              <w:rPr>
                <w:rFonts w:ascii="Century Gothic"/>
                <w:sz w:val="48"/>
              </w:rPr>
            </w:pPr>
          </w:p>
          <w:p>
            <w:pPr>
              <w:pStyle w:val="TableParagraph"/>
              <w:spacing w:line="252" w:lineRule="auto"/>
              <w:ind w:left="64" w:firstLine="90"/>
              <w:rPr>
                <w:sz w:val="15"/>
              </w:rPr>
            </w:pPr>
            <w:r>
              <w:rPr>
                <w:w w:val="105"/>
                <w:sz w:val="15"/>
              </w:rPr>
              <w:t>Falls </w:t>
            </w:r>
            <w:r>
              <w:rPr>
                <w:sz w:val="15"/>
              </w:rPr>
              <w:t>Church</w:t>
            </w:r>
          </w:p>
        </w:tc>
        <w:tc>
          <w:tcPr>
            <w:tcW w:w="1338" w:type="dxa"/>
            <w:tcBorders>
              <w:bottom w:val="single" w:sz="4" w:space="0" w:color="000000"/>
              <w:right w:val="single" w:sz="4" w:space="0" w:color="000000"/>
            </w:tcBorders>
          </w:tcPr>
          <w:p>
            <w:pPr>
              <w:pStyle w:val="TableParagraph"/>
              <w:rPr>
                <w:rFonts w:ascii="Century Gothic"/>
                <w:sz w:val="16"/>
              </w:rPr>
            </w:pPr>
          </w:p>
          <w:p>
            <w:pPr>
              <w:pStyle w:val="TableParagraph"/>
              <w:spacing w:before="9"/>
              <w:rPr>
                <w:rFonts w:ascii="Century Gothic"/>
                <w:sz w:val="15"/>
              </w:rPr>
            </w:pPr>
          </w:p>
          <w:p>
            <w:pPr>
              <w:pStyle w:val="TableParagraph"/>
              <w:ind w:left="329"/>
              <w:rPr>
                <w:sz w:val="15"/>
              </w:rPr>
            </w:pPr>
            <w:r>
              <w:rPr>
                <w:w w:val="105"/>
                <w:sz w:val="15"/>
              </w:rPr>
              <w:t>Howard</w:t>
            </w: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spacing w:before="5"/>
              <w:rPr>
                <w:rFonts w:ascii="Century Gothic"/>
                <w:sz w:val="23"/>
              </w:rPr>
            </w:pPr>
          </w:p>
          <w:p>
            <w:pPr>
              <w:pStyle w:val="TableParagraph"/>
              <w:spacing w:line="252" w:lineRule="auto"/>
              <w:ind w:left="382" w:right="265" w:firstLine="4"/>
              <w:rPr>
                <w:sz w:val="15"/>
              </w:rPr>
            </w:pPr>
            <w:r>
              <w:rPr>
                <w:w w:val="105"/>
                <w:sz w:val="15"/>
              </w:rPr>
              <w:t>District of Columbia</w:t>
            </w:r>
          </w:p>
          <w:p>
            <w:pPr>
              <w:pStyle w:val="TableParagraph"/>
              <w:rPr>
                <w:rFonts w:ascii="Century Gothic"/>
                <w:sz w:val="16"/>
              </w:rPr>
            </w:pPr>
          </w:p>
          <w:p>
            <w:pPr>
              <w:pStyle w:val="TableParagraph"/>
              <w:spacing w:line="386" w:lineRule="auto" w:before="112"/>
              <w:ind w:left="226" w:right="342" w:hanging="103"/>
              <w:rPr>
                <w:sz w:val="15"/>
              </w:rPr>
            </w:pPr>
            <w:r>
              <w:rPr>
                <w:spacing w:val="-6"/>
                <w:w w:val="104"/>
                <w:sz w:val="15"/>
              </w:rPr>
              <w:t>A</w:t>
            </w:r>
            <w:r>
              <w:rPr>
                <w:spacing w:val="-4"/>
                <w:w w:val="104"/>
                <w:sz w:val="15"/>
              </w:rPr>
              <w:t>r</w:t>
            </w:r>
            <w:r>
              <w:rPr>
                <w:rFonts w:ascii="Verdana"/>
                <w:spacing w:val="-346"/>
                <w:w w:val="110"/>
                <w:position w:val="-28"/>
                <w:sz w:val="49"/>
              </w:rPr>
              <w:t>_</w:t>
            </w:r>
            <w:r>
              <w:rPr>
                <w:rFonts w:ascii="Verdana"/>
                <w:color w:val="FFFF00"/>
                <w:spacing w:val="-330"/>
                <w:w w:val="86"/>
                <w:position w:val="-28"/>
                <w:sz w:val="49"/>
              </w:rPr>
              <w:t>^</w:t>
            </w:r>
            <w:r>
              <w:rPr>
                <w:spacing w:val="-2"/>
                <w:w w:val="104"/>
                <w:sz w:val="15"/>
              </w:rPr>
              <w:t>l</w:t>
            </w:r>
            <w:r>
              <w:rPr>
                <w:spacing w:val="5"/>
                <w:w w:val="104"/>
                <w:sz w:val="15"/>
              </w:rPr>
              <w:t>i</w:t>
            </w:r>
            <w:r>
              <w:rPr>
                <w:spacing w:val="-5"/>
                <w:w w:val="104"/>
                <w:sz w:val="15"/>
              </w:rPr>
              <w:t>n</w:t>
            </w:r>
            <w:r>
              <w:rPr>
                <w:spacing w:val="2"/>
                <w:w w:val="104"/>
                <w:sz w:val="15"/>
              </w:rPr>
              <w:t>g</w:t>
            </w:r>
            <w:r>
              <w:rPr>
                <w:spacing w:val="5"/>
                <w:w w:val="104"/>
                <w:sz w:val="15"/>
              </w:rPr>
              <w:t>t</w:t>
            </w:r>
            <w:r>
              <w:rPr>
                <w:spacing w:val="-5"/>
                <w:w w:val="104"/>
                <w:sz w:val="15"/>
              </w:rPr>
              <w:t>o</w:t>
            </w:r>
            <w:r>
              <w:rPr>
                <w:w w:val="104"/>
                <w:sz w:val="15"/>
              </w:rPr>
              <w:t>n </w:t>
            </w:r>
            <w:r>
              <w:rPr>
                <w:w w:val="105"/>
                <w:sz w:val="15"/>
              </w:rPr>
              <w:t>Alexandria</w:t>
            </w: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rPr>
                <w:rFonts w:ascii="Century Gothic"/>
                <w:sz w:val="16"/>
              </w:rPr>
            </w:pPr>
          </w:p>
          <w:p>
            <w:pPr>
              <w:pStyle w:val="TableParagraph"/>
              <w:spacing w:line="252" w:lineRule="auto" w:before="125"/>
              <w:ind w:left="543" w:right="135" w:firstLine="94"/>
              <w:rPr>
                <w:sz w:val="15"/>
              </w:rPr>
            </w:pPr>
            <w:r>
              <w:rPr>
                <w:w w:val="105"/>
                <w:sz w:val="15"/>
              </w:rPr>
              <w:t>Prince George's</w:t>
            </w:r>
          </w:p>
          <w:p>
            <w:pPr>
              <w:pStyle w:val="TableParagraph"/>
              <w:spacing w:before="99"/>
              <w:ind w:left="230"/>
              <w:rPr>
                <w:sz w:val="15"/>
              </w:rPr>
            </w:pPr>
            <w:r>
              <w:rPr>
                <w:w w:val="105"/>
                <w:sz w:val="15"/>
              </w:rPr>
              <w:t>Charles</w:t>
            </w:r>
          </w:p>
        </w:tc>
      </w:tr>
    </w:tbl>
    <w:p>
      <w:pPr>
        <w:spacing w:after="0"/>
        <w:rPr>
          <w:sz w:val="15"/>
        </w:rPr>
        <w:sectPr>
          <w:headerReference w:type="default" r:id="rId24"/>
          <w:footerReference w:type="default" r:id="rId25"/>
          <w:pgSz w:w="12240" w:h="15840"/>
          <w:pgMar w:header="0" w:footer="0" w:top="560" w:bottom="0" w:left="600" w:right="600"/>
        </w:sectPr>
      </w:pPr>
    </w:p>
    <w:p>
      <w:pPr>
        <w:spacing w:before="86"/>
        <w:ind w:left="123" w:right="0" w:firstLine="0"/>
        <w:jc w:val="left"/>
        <w:rPr>
          <w:rFonts w:ascii="Century Gothic"/>
          <w:sz w:val="12"/>
        </w:rPr>
      </w:pPr>
      <w:r>
        <w:rPr>
          <w:rFonts w:ascii="Century Gothic"/>
          <w:w w:val="105"/>
          <w:sz w:val="12"/>
        </w:rPr>
        <w:t>Loudoun County IS NOT LIABLE for any use</w:t>
      </w:r>
    </w:p>
    <w:p>
      <w:pPr>
        <w:spacing w:line="249" w:lineRule="auto" w:before="10"/>
        <w:ind w:left="123" w:right="317" w:firstLine="0"/>
        <w:jc w:val="left"/>
        <w:rPr>
          <w:rFonts w:ascii="Century Gothic"/>
          <w:sz w:val="12"/>
        </w:rPr>
      </w:pPr>
      <w:r>
        <w:rPr>
          <w:rFonts w:ascii="Century Gothic"/>
          <w:w w:val="105"/>
          <w:sz w:val="12"/>
        </w:rPr>
        <w:t>of or reliance upon this map or any information contained herein. While reasonable efforts have been made to obtain accurate data, the County makes no warranty, expressed or implied, as to its</w:t>
      </w:r>
    </w:p>
    <w:p>
      <w:pPr>
        <w:spacing w:before="5"/>
        <w:ind w:left="123" w:right="0" w:firstLine="0"/>
        <w:jc w:val="left"/>
        <w:rPr>
          <w:rFonts w:ascii="Century Gothic"/>
          <w:sz w:val="12"/>
        </w:rPr>
      </w:pPr>
      <w:r>
        <w:rPr>
          <w:rFonts w:ascii="Century Gothic"/>
          <w:w w:val="105"/>
          <w:sz w:val="12"/>
        </w:rPr>
        <w:t>accuracy, completeness, or fitness for use of any purpose.</w:t>
      </w:r>
    </w:p>
    <w:p>
      <w:pPr>
        <w:pStyle w:val="BodyText"/>
        <w:rPr>
          <w:rFonts w:ascii="Century Gothic"/>
          <w:sz w:val="18"/>
        </w:rPr>
      </w:pPr>
      <w:r>
        <w:rPr/>
        <w:br w:type="column"/>
      </w:r>
      <w:r>
        <w:rPr>
          <w:rFonts w:ascii="Century Gothic"/>
          <w:sz w:val="18"/>
        </w:rPr>
      </w:r>
    </w:p>
    <w:p>
      <w:pPr>
        <w:pStyle w:val="BodyText"/>
        <w:spacing w:before="4"/>
        <w:rPr>
          <w:rFonts w:ascii="Century Gothic"/>
          <w:sz w:val="26"/>
        </w:rPr>
      </w:pPr>
    </w:p>
    <w:p>
      <w:pPr>
        <w:spacing w:before="1"/>
        <w:ind w:left="123" w:right="0" w:firstLine="0"/>
        <w:jc w:val="left"/>
        <w:rPr>
          <w:rFonts w:ascii="Century Gothic"/>
          <w:sz w:val="15"/>
        </w:rPr>
      </w:pPr>
      <w:r>
        <w:rPr>
          <w:rFonts w:ascii="Century Gothic"/>
          <w:sz w:val="15"/>
        </w:rPr>
        <w:t>0 1.5</w:t>
      </w:r>
    </w:p>
    <w:p>
      <w:pPr>
        <w:pStyle w:val="BodyText"/>
        <w:rPr>
          <w:rFonts w:ascii="Century Gothic"/>
          <w:sz w:val="18"/>
        </w:rPr>
      </w:pPr>
      <w:r>
        <w:rPr/>
        <w:br w:type="column"/>
      </w:r>
      <w:r>
        <w:rPr>
          <w:rFonts w:ascii="Century Gothic"/>
          <w:sz w:val="18"/>
        </w:rPr>
      </w:r>
    </w:p>
    <w:p>
      <w:pPr>
        <w:pStyle w:val="BodyText"/>
        <w:spacing w:before="4"/>
        <w:rPr>
          <w:rFonts w:ascii="Century Gothic"/>
          <w:sz w:val="26"/>
        </w:rPr>
      </w:pPr>
    </w:p>
    <w:p>
      <w:pPr>
        <w:tabs>
          <w:tab w:pos="608" w:val="left" w:leader="none"/>
          <w:tab w:pos="1217" w:val="left" w:leader="none"/>
          <w:tab w:pos="1784" w:val="left" w:leader="none"/>
        </w:tabs>
        <w:spacing w:line="166" w:lineRule="exact" w:before="1"/>
        <w:ind w:left="0" w:right="218" w:firstLine="0"/>
        <w:jc w:val="center"/>
        <w:rPr>
          <w:rFonts w:ascii="Century Gothic"/>
          <w:sz w:val="15"/>
        </w:rPr>
      </w:pPr>
      <w:r>
        <w:rPr>
          <w:rFonts w:ascii="Century Gothic"/>
          <w:sz w:val="15"/>
        </w:rPr>
        <w:t>3</w:t>
        <w:tab/>
        <w:t>6</w:t>
        <w:tab/>
        <w:t>9</w:t>
        <w:tab/>
        <w:t>12</w:t>
      </w:r>
    </w:p>
    <w:p>
      <w:pPr>
        <w:spacing w:line="166" w:lineRule="exact" w:before="0"/>
        <w:ind w:left="0" w:right="38" w:firstLine="0"/>
        <w:jc w:val="right"/>
        <w:rPr>
          <w:rFonts w:ascii="Century Gothic"/>
          <w:sz w:val="15"/>
        </w:rPr>
      </w:pPr>
      <w:r>
        <w:rPr/>
        <w:pict>
          <v:group style="position:absolute;margin-left:291.187012pt;margin-top:2.122767pt;width:121.75pt;height:4.95pt;mso-position-horizontal-relative:page;mso-position-vertical-relative:paragraph;z-index:1552" coordorigin="5824,42" coordsize="2435,99">
            <v:line style="position:absolute" from="5824,92" to="5980,92" stroked="true" strokeweight="4.115pt" strokecolor="#000000">
              <v:stroke dashstyle="solid"/>
            </v:line>
            <v:rect style="position:absolute;left:5980;top:50;width:149;height:83" filled="false" stroked="true" strokeweight=".823pt" strokecolor="#000000">
              <v:stroke dashstyle="solid"/>
            </v:rect>
            <v:line style="position:absolute" from="6128,92" to="6284,92" stroked="true" strokeweight="4.115pt" strokecolor="#000000">
              <v:stroke dashstyle="solid"/>
            </v:line>
            <v:rect style="position:absolute;left:6284;top:50;width:149;height:83" filled="false" stroked="true" strokeweight=".823pt" strokecolor="#000000">
              <v:stroke dashstyle="solid"/>
            </v:rect>
            <v:line style="position:absolute" from="6432,92" to="7041,92" stroked="true" strokeweight="4.115pt" strokecolor="#000000">
              <v:stroke dashstyle="solid"/>
            </v:line>
            <v:rect style="position:absolute;left:7041;top:50;width:609;height:83" filled="false" stroked="true" strokeweight=".823pt" strokecolor="#000000">
              <v:stroke dashstyle="solid"/>
            </v:rect>
            <v:line style="position:absolute" from="7650,92" to="8259,92" stroked="true" strokeweight="4.115pt" strokecolor="#000000">
              <v:stroke dashstyle="solid"/>
            </v:line>
            <w10:wrap type="none"/>
          </v:group>
        </w:pict>
      </w:r>
      <w:r>
        <w:rPr>
          <w:rFonts w:ascii="Century Gothic"/>
          <w:w w:val="95"/>
          <w:sz w:val="15"/>
        </w:rPr>
        <w:t>Miles</w:t>
      </w:r>
    </w:p>
    <w:p>
      <w:pPr>
        <w:spacing w:before="9"/>
        <w:ind w:left="0" w:right="351" w:firstLine="0"/>
        <w:jc w:val="center"/>
        <w:rPr>
          <w:rFonts w:ascii="Verdana"/>
          <w:b/>
          <w:sz w:val="10"/>
        </w:rPr>
      </w:pPr>
      <w:r>
        <w:rPr>
          <w:rFonts w:ascii="Verdana"/>
          <w:b/>
          <w:w w:val="95"/>
          <w:sz w:val="10"/>
        </w:rPr>
        <w:t>Ma p N u m b er 2 018 -1 53</w:t>
      </w:r>
    </w:p>
    <w:p>
      <w:pPr>
        <w:pStyle w:val="BodyText"/>
        <w:rPr>
          <w:rFonts w:ascii="Verdana"/>
          <w:b/>
          <w:sz w:val="32"/>
        </w:rPr>
      </w:pPr>
      <w:r>
        <w:rPr/>
        <w:br w:type="column"/>
      </w:r>
      <w:r>
        <w:rPr>
          <w:rFonts w:ascii="Verdana"/>
          <w:b/>
          <w:sz w:val="32"/>
        </w:rPr>
      </w:r>
    </w:p>
    <w:p>
      <w:pPr>
        <w:pStyle w:val="BodyText"/>
        <w:spacing w:before="8"/>
        <w:rPr>
          <w:rFonts w:ascii="Verdana"/>
          <w:b/>
        </w:rPr>
      </w:pPr>
    </w:p>
    <w:p>
      <w:pPr>
        <w:pStyle w:val="Heading3"/>
      </w:pPr>
      <w:r>
        <w:rPr>
          <w:color w:val="FF0000"/>
          <w:w w:val="90"/>
        </w:rPr>
        <w:t>D R A F T</w:t>
      </w:r>
    </w:p>
    <w:p>
      <w:pPr>
        <w:spacing w:line="210" w:lineRule="exact" w:before="0"/>
        <w:ind w:left="123" w:right="0" w:firstLine="0"/>
        <w:jc w:val="left"/>
        <w:rPr>
          <w:rFonts w:ascii="Century Gothic"/>
          <w:sz w:val="18"/>
        </w:rPr>
      </w:pPr>
      <w:r>
        <w:rPr/>
        <w:pict>
          <v:shape style="position:absolute;margin-left:342.39151pt;margin-top:26.48233pt;width:85.2pt;height:7.6pt;mso-position-horizontal-relative:page;mso-position-vertical-relative:paragraph;z-index:-17632" type="#_x0000_t202" filled="false" stroked="false">
            <v:textbox inset="0,0,0,0">
              <w:txbxContent>
                <w:p>
                  <w:pPr>
                    <w:spacing w:before="3"/>
                    <w:ind w:left="0" w:right="0" w:firstLine="0"/>
                    <w:jc w:val="left"/>
                    <w:rPr>
                      <w:rFonts w:ascii="Verdana"/>
                      <w:b/>
                      <w:sz w:val="12"/>
                    </w:rPr>
                  </w:pPr>
                  <w:r>
                    <w:rPr>
                      <w:rFonts w:ascii="Verdana"/>
                      <w:b/>
                      <w:spacing w:val="5"/>
                      <w:w w:val="90"/>
                      <w:sz w:val="12"/>
                    </w:rPr>
                    <w:t>Map</w:t>
                  </w:r>
                  <w:r>
                    <w:rPr>
                      <w:rFonts w:ascii="Verdana"/>
                      <w:b/>
                      <w:spacing w:val="-11"/>
                      <w:w w:val="90"/>
                      <w:sz w:val="12"/>
                    </w:rPr>
                    <w:t> </w:t>
                  </w:r>
                  <w:r>
                    <w:rPr>
                      <w:rFonts w:ascii="Verdana"/>
                      <w:b/>
                      <w:w w:val="90"/>
                      <w:sz w:val="12"/>
                    </w:rPr>
                    <w:t>N</w:t>
                  </w:r>
                  <w:r>
                    <w:rPr>
                      <w:rFonts w:ascii="Verdana"/>
                      <w:b/>
                      <w:spacing w:val="-31"/>
                      <w:w w:val="90"/>
                      <w:sz w:val="12"/>
                    </w:rPr>
                    <w:t> </w:t>
                  </w:r>
                  <w:r>
                    <w:rPr>
                      <w:rFonts w:ascii="Verdana"/>
                      <w:b/>
                      <w:spacing w:val="2"/>
                      <w:w w:val="90"/>
                      <w:sz w:val="12"/>
                    </w:rPr>
                    <w:t>um</w:t>
                  </w:r>
                  <w:r>
                    <w:rPr>
                      <w:rFonts w:ascii="Verdana"/>
                      <w:b/>
                      <w:spacing w:val="-31"/>
                      <w:w w:val="90"/>
                      <w:sz w:val="12"/>
                    </w:rPr>
                    <w:t> </w:t>
                  </w:r>
                  <w:r>
                    <w:rPr>
                      <w:rFonts w:ascii="Verdana"/>
                      <w:b/>
                      <w:w w:val="90"/>
                      <w:sz w:val="12"/>
                    </w:rPr>
                    <w:t>b</w:t>
                  </w:r>
                  <w:r>
                    <w:rPr>
                      <w:rFonts w:ascii="Verdana"/>
                      <w:b/>
                      <w:spacing w:val="-30"/>
                      <w:w w:val="90"/>
                      <w:sz w:val="12"/>
                    </w:rPr>
                    <w:t> </w:t>
                  </w:r>
                  <w:r>
                    <w:rPr>
                      <w:rFonts w:ascii="Verdana"/>
                      <w:b/>
                      <w:spacing w:val="5"/>
                      <w:w w:val="90"/>
                      <w:sz w:val="12"/>
                    </w:rPr>
                    <w:t>er</w:t>
                  </w:r>
                  <w:r>
                    <w:rPr>
                      <w:rFonts w:ascii="Verdana"/>
                      <w:b/>
                      <w:spacing w:val="-11"/>
                      <w:w w:val="90"/>
                      <w:sz w:val="12"/>
                    </w:rPr>
                    <w:t> </w:t>
                  </w:r>
                  <w:r>
                    <w:rPr>
                      <w:rFonts w:ascii="Verdana"/>
                      <w:b/>
                      <w:spacing w:val="2"/>
                      <w:w w:val="90"/>
                      <w:sz w:val="12"/>
                    </w:rPr>
                    <w:t>##</w:t>
                  </w:r>
                  <w:r>
                    <w:rPr>
                      <w:rFonts w:ascii="Verdana"/>
                      <w:b/>
                      <w:spacing w:val="-30"/>
                      <w:w w:val="90"/>
                      <w:sz w:val="12"/>
                    </w:rPr>
                    <w:t> </w:t>
                  </w:r>
                  <w:r>
                    <w:rPr>
                      <w:rFonts w:ascii="Verdana"/>
                      <w:b/>
                      <w:spacing w:val="2"/>
                      <w:w w:val="90"/>
                      <w:sz w:val="12"/>
                    </w:rPr>
                    <w:t>##</w:t>
                  </w:r>
                  <w:r>
                    <w:rPr>
                      <w:rFonts w:ascii="Verdana"/>
                      <w:b/>
                      <w:spacing w:val="-30"/>
                      <w:w w:val="90"/>
                      <w:sz w:val="12"/>
                    </w:rPr>
                    <w:t> </w:t>
                  </w:r>
                  <w:r>
                    <w:rPr>
                      <w:rFonts w:ascii="Verdana"/>
                      <w:b/>
                      <w:spacing w:val="5"/>
                      <w:w w:val="90"/>
                      <w:sz w:val="12"/>
                    </w:rPr>
                    <w:t>-##</w:t>
                  </w:r>
                  <w:r>
                    <w:rPr>
                      <w:rFonts w:ascii="Verdana"/>
                      <w:b/>
                      <w:spacing w:val="-30"/>
                      <w:w w:val="90"/>
                      <w:sz w:val="12"/>
                    </w:rPr>
                    <w:t> </w:t>
                  </w:r>
                  <w:r>
                    <w:rPr>
                      <w:rFonts w:ascii="Verdana"/>
                      <w:b/>
                      <w:spacing w:val="2"/>
                      <w:w w:val="90"/>
                      <w:sz w:val="12"/>
                    </w:rPr>
                    <w:t>##</w:t>
                  </w:r>
                </w:p>
              </w:txbxContent>
            </v:textbox>
            <w10:wrap type="none"/>
          </v:shape>
        </w:pict>
      </w:r>
      <w:r>
        <w:rPr/>
        <w:pict>
          <v:rect style="position:absolute;margin-left:271.034210pt;margin-top:4.012993pt;width:242.245pt;height:29.625pt;mso-position-horizontal-relative:page;mso-position-vertical-relative:paragraph;z-index:-17584" filled="true" fillcolor="#ffffff" stroked="false">
            <v:fill type="solid"/>
            <w10:wrap type="none"/>
          </v:rect>
        </w:pict>
      </w:r>
      <w:r>
        <w:rPr>
          <w:rFonts w:ascii="Century Gothic"/>
          <w:sz w:val="18"/>
        </w:rPr>
        <w:t>CHAPTER 1-11</w:t>
      </w:r>
    </w:p>
    <w:sectPr>
      <w:type w:val="continuous"/>
      <w:pgSz w:w="12240" w:h="15840"/>
      <w:pgMar w:top="1540" w:bottom="1460" w:left="600" w:right="600"/>
      <w:cols w:num="4" w:equalWidth="0">
        <w:col w:w="3688" w:space="1371"/>
        <w:col w:w="568" w:space="40"/>
        <w:col w:w="2418" w:space="791"/>
        <w:col w:w="2164"/>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Myriad Pro">
    <w:altName w:val="Myriad Pro"/>
    <w:charset w:val="0"/>
    <w:family w:val="swiss"/>
    <w:pitch w:val="variable"/>
  </w:font>
  <w:font w:name="Trebuchet MS">
    <w:altName w:val="Trebuchet MS"/>
    <w:charset w:val="0"/>
    <w:family w:val="swiss"/>
    <w:pitch w:val="variable"/>
  </w:font>
  <w:font w:name="Verdana">
    <w:altName w:val="Verdana"/>
    <w:charset w:val="0"/>
    <w:family w:val="swiss"/>
    <w:pitch w:val="variable"/>
  </w:font>
  <w:font w:name="Tahoma">
    <w:altName w:val="Tahoma"/>
    <w:charset w:val="0"/>
    <w:family w:val="swiss"/>
    <w:pitch w:val="variable"/>
  </w:font>
  <w:font w:name="Calibri">
    <w:altName w:val="Calibri"/>
    <w:charset w:val="0"/>
    <w:family w:val="swiss"/>
    <w:pitch w:val="variable"/>
  </w:font>
  <w:font w:name="Century Gothic">
    <w:altName w:val="Century Gothic"/>
    <w:charset w:val="0"/>
    <w:family w:val="auto"/>
    <w:pitch w:val="default"/>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714.599976pt;width:612pt;height:77.4pt;mso-position-horizontal-relative:page;mso-position-vertical-relative:page;z-index:-18064" filled="true" fillcolor="#006345" stroked="false">
          <v:fill type="solid"/>
          <w10:wrap type="none"/>
        </v:rect>
      </w:pict>
    </w:r>
    <w:r>
      <w:rPr/>
      <w:pict>
        <v:shapetype id="_x0000_t202" o:spt="202" coordsize="21600,21600" path="m,l,21600r21600,l21600,xe">
          <v:stroke joinstyle="miter"/>
          <v:path gradientshapeok="t" o:connecttype="rect"/>
        </v:shapetype>
        <v:shape style="position:absolute;margin-left:171.352997pt;margin-top:722.147827pt;width:284.1pt;height:28.45pt;mso-position-horizontal-relative:page;mso-position-vertical-relative:page;z-index:-18040" type="#_x0000_t202" filled="false" stroked="false">
          <v:textbox inset="0,0,0,0">
            <w:txbxContent>
              <w:p>
                <w:pPr>
                  <w:spacing w:before="20"/>
                  <w:ind w:left="20" w:right="0" w:firstLine="0"/>
                  <w:jc w:val="left"/>
                  <w:rPr>
                    <w:rFonts w:ascii="Myriad Pro"/>
                    <w:sz w:val="44"/>
                  </w:rPr>
                </w:pPr>
                <w:r>
                  <w:rPr>
                    <w:rFonts w:ascii="Myriad Pro"/>
                    <w:color w:val="FFFFFF"/>
                    <w:sz w:val="44"/>
                  </w:rPr>
                  <w:t>Version Date: October 23, 2018</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4.140015pt;margin-top:730.203247pt;width:58.05pt;height:13.05pt;mso-position-horizontal-relative:page;mso-position-vertical-relative:page;z-index:-17992" type="#_x0000_t202" filled="false" stroked="false">
          <v:textbox inset="0,0,0,0">
            <w:txbxContent>
              <w:p>
                <w:pPr>
                  <w:spacing w:before="20"/>
                  <w:ind w:left="20" w:right="0" w:firstLine="0"/>
                  <w:jc w:val="left"/>
                  <w:rPr>
                    <w:rFonts w:ascii="Verdana"/>
                    <w:sz w:val="18"/>
                  </w:rPr>
                </w:pPr>
                <w:r>
                  <w:rPr>
                    <w:rFonts w:ascii="Verdana"/>
                    <w:w w:val="95"/>
                    <w:sz w:val="18"/>
                  </w:rPr>
                  <w:t>CHAPTER</w:t>
                </w:r>
                <w:r>
                  <w:rPr>
                    <w:rFonts w:ascii="Verdana"/>
                    <w:spacing w:val="-36"/>
                    <w:w w:val="95"/>
                    <w:sz w:val="18"/>
                  </w:rPr>
                  <w:t> </w:t>
                </w:r>
                <w:r>
                  <w:rPr>
                    <w:rFonts w:ascii="Verdana"/>
                    <w:w w:val="95"/>
                    <w:sz w:val="18"/>
                  </w:rPr>
                  <w:t>1-</w:t>
                </w:r>
                <w:r>
                  <w:rPr/>
                  <w:fldChar w:fldCharType="begin"/>
                </w:r>
                <w:r>
                  <w:rPr>
                    <w:rFonts w:ascii="Verdana"/>
                    <w:w w:val="95"/>
                    <w:sz w:val="18"/>
                  </w:rPr>
                  <w:instrText> PAGE </w:instrText>
                </w:r>
                <w:r>
                  <w:rPr/>
                  <w:fldChar w:fldCharType="separate"/>
                </w:r>
                <w:r>
                  <w:rPr/>
                  <w:t>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968" from="72.024002pt,702.755981pt" to="216.044002pt,702.755981pt" stroked="true" strokeweight=".60004pt" strokecolor="#000000">
          <v:stroke dashstyle="solid"/>
          <w10:wrap type="none"/>
        </v:line>
      </w:pict>
    </w:r>
    <w:r>
      <w:rPr/>
      <w:pict>
        <v:shape style="position:absolute;margin-left:70.024002pt;margin-top:707.321594pt;width:229.15pt;height:13.45pt;mso-position-horizontal-relative:page;mso-position-vertical-relative:page;z-index:-17944" type="#_x0000_t202" filled="false" stroked="false">
          <v:textbox inset="0,0,0,0">
            <w:txbxContent>
              <w:p>
                <w:pPr>
                  <w:spacing w:before="13"/>
                  <w:ind w:left="40" w:right="0" w:firstLine="0"/>
                  <w:jc w:val="left"/>
                  <w:rPr>
                    <w:sz w:val="20"/>
                  </w:rPr>
                </w:pPr>
                <w:r>
                  <w:rPr/>
                  <w:fldChar w:fldCharType="begin"/>
                </w:r>
                <w:r>
                  <w:rPr>
                    <w:position w:val="7"/>
                    <w:sz w:val="13"/>
                  </w:rPr>
                  <w:instrText> PAGE </w:instrText>
                </w:r>
                <w:r>
                  <w:rPr/>
                  <w:fldChar w:fldCharType="separate"/>
                </w:r>
                <w:r>
                  <w:rPr/>
                  <w:t>1</w:t>
                </w:r>
                <w:r>
                  <w:rPr/>
                  <w:fldChar w:fldCharType="end"/>
                </w:r>
                <w:r>
                  <w:rPr>
                    <w:position w:val="7"/>
                    <w:sz w:val="13"/>
                  </w:rPr>
                  <w:t> </w:t>
                </w:r>
                <w:r>
                  <w:rPr>
                    <w:sz w:val="20"/>
                  </w:rPr>
                  <w:t>U.S. Census, 2012-2016 American Community Survey</w:t>
                </w:r>
              </w:p>
            </w:txbxContent>
          </v:textbox>
          <w10:wrap type="none"/>
        </v:shape>
      </w:pict>
    </w:r>
    <w:r>
      <w:rPr/>
      <w:pict>
        <v:shape style="position:absolute;margin-left:484.140015pt;margin-top:730.203247pt;width:57.05pt;height:13.05pt;mso-position-horizontal-relative:page;mso-position-vertical-relative:page;z-index:-17920" type="#_x0000_t202" filled="false" stroked="false">
          <v:textbox inset="0,0,0,0">
            <w:txbxContent>
              <w:p>
                <w:pPr>
                  <w:spacing w:before="20"/>
                  <w:ind w:left="20" w:right="0" w:firstLine="0"/>
                  <w:jc w:val="left"/>
                  <w:rPr>
                    <w:rFonts w:ascii="Verdana"/>
                    <w:sz w:val="18"/>
                  </w:rPr>
                </w:pPr>
                <w:r>
                  <w:rPr>
                    <w:rFonts w:ascii="Verdana"/>
                    <w:w w:val="95"/>
                    <w:sz w:val="18"/>
                  </w:rPr>
                  <w:t>CHAPTER</w:t>
                </w:r>
                <w:r>
                  <w:rPr>
                    <w:rFonts w:ascii="Verdana"/>
                    <w:spacing w:val="-43"/>
                    <w:w w:val="95"/>
                    <w:sz w:val="18"/>
                  </w:rPr>
                  <w:t> </w:t>
                </w:r>
                <w:r>
                  <w:rPr>
                    <w:rFonts w:ascii="Verdana"/>
                    <w:w w:val="95"/>
                    <w:sz w:val="18"/>
                  </w:rPr>
                  <w:t>1-6</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896" from="72.024002pt,702.755981pt" to="216.044002pt,702.755981pt" stroked="true" strokeweight=".60004pt" strokecolor="#000000">
          <v:stroke dashstyle="solid"/>
          <w10:wrap type="none"/>
        </v:line>
      </w:pict>
    </w:r>
    <w:r>
      <w:rPr/>
      <w:pict>
        <v:shape style="position:absolute;margin-left:70.024002pt;margin-top:707.321594pt;width:229.15pt;height:13.45pt;mso-position-horizontal-relative:page;mso-position-vertical-relative:page;z-index:-17872" type="#_x0000_t202" filled="false" stroked="false">
          <v:textbox inset="0,0,0,0">
            <w:txbxContent>
              <w:p>
                <w:pPr>
                  <w:spacing w:before="13"/>
                  <w:ind w:left="40" w:right="0" w:firstLine="0"/>
                  <w:jc w:val="left"/>
                  <w:rPr>
                    <w:sz w:val="20"/>
                  </w:rPr>
                </w:pPr>
                <w:r>
                  <w:rPr/>
                  <w:fldChar w:fldCharType="begin"/>
                </w:r>
                <w:r>
                  <w:rPr>
                    <w:position w:val="7"/>
                    <w:sz w:val="13"/>
                  </w:rPr>
                  <w:instrText> PAGE </w:instrText>
                </w:r>
                <w:r>
                  <w:rPr/>
                  <w:fldChar w:fldCharType="separate"/>
                </w:r>
                <w:r>
                  <w:rPr/>
                  <w:t>2</w:t>
                </w:r>
                <w:r>
                  <w:rPr/>
                  <w:fldChar w:fldCharType="end"/>
                </w:r>
                <w:r>
                  <w:rPr>
                    <w:position w:val="7"/>
                    <w:sz w:val="13"/>
                  </w:rPr>
                  <w:t> </w:t>
                </w:r>
                <w:r>
                  <w:rPr>
                    <w:sz w:val="20"/>
                  </w:rPr>
                  <w:t>U.S. Census, 2012-2016 American Community Survey</w:t>
                </w:r>
              </w:p>
            </w:txbxContent>
          </v:textbox>
          <w10:wrap type="none"/>
        </v:shape>
      </w:pict>
    </w:r>
    <w:r>
      <w:rPr/>
      <w:pict>
        <v:shape style="position:absolute;margin-left:484.140015pt;margin-top:730.203247pt;width:57.05pt;height:13.05pt;mso-position-horizontal-relative:page;mso-position-vertical-relative:page;z-index:-17848" type="#_x0000_t202" filled="false" stroked="false">
          <v:textbox inset="0,0,0,0">
            <w:txbxContent>
              <w:p>
                <w:pPr>
                  <w:spacing w:before="20"/>
                  <w:ind w:left="20" w:right="0" w:firstLine="0"/>
                  <w:jc w:val="left"/>
                  <w:rPr>
                    <w:rFonts w:ascii="Verdana"/>
                    <w:sz w:val="18"/>
                  </w:rPr>
                </w:pPr>
                <w:r>
                  <w:rPr>
                    <w:rFonts w:ascii="Verdana"/>
                    <w:w w:val="95"/>
                    <w:sz w:val="18"/>
                  </w:rPr>
                  <w:t>CHAPTER</w:t>
                </w:r>
                <w:r>
                  <w:rPr>
                    <w:rFonts w:ascii="Verdana"/>
                    <w:spacing w:val="-43"/>
                    <w:w w:val="95"/>
                    <w:sz w:val="18"/>
                  </w:rPr>
                  <w:t> </w:t>
                </w:r>
                <w:r>
                  <w:rPr>
                    <w:rFonts w:ascii="Verdana"/>
                    <w:w w:val="95"/>
                    <w:sz w:val="18"/>
                  </w:rPr>
                  <w:t>1-7</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9.100006pt;margin-top:730.203247pt;width:63.15pt;height:13.05pt;mso-position-horizontal-relative:page;mso-position-vertical-relative:page;z-index:-17824" type="#_x0000_t202" filled="false" stroked="false">
          <v:textbox inset="0,0,0,0">
            <w:txbxContent>
              <w:p>
                <w:pPr>
                  <w:spacing w:before="20"/>
                  <w:ind w:left="20" w:right="0" w:firstLine="0"/>
                  <w:jc w:val="left"/>
                  <w:rPr>
                    <w:rFonts w:ascii="Verdana"/>
                    <w:sz w:val="18"/>
                  </w:rPr>
                </w:pPr>
                <w:r>
                  <w:rPr>
                    <w:rFonts w:ascii="Verdana"/>
                    <w:w w:val="95"/>
                    <w:sz w:val="18"/>
                  </w:rPr>
                  <w:t>CHAPTER</w:t>
                </w:r>
                <w:r>
                  <w:rPr>
                    <w:rFonts w:ascii="Verdana"/>
                    <w:spacing w:val="-40"/>
                    <w:w w:val="95"/>
                    <w:sz w:val="18"/>
                  </w:rPr>
                  <w:t> </w:t>
                </w:r>
                <w:r>
                  <w:rPr>
                    <w:rFonts w:ascii="Verdana"/>
                    <w:w w:val="95"/>
                    <w:sz w:val="18"/>
                  </w:rPr>
                  <w:t>1-</w:t>
                </w:r>
                <w:r>
                  <w:rPr/>
                  <w:fldChar w:fldCharType="begin"/>
                </w:r>
                <w:r>
                  <w:rPr>
                    <w:rFonts w:ascii="Verdana"/>
                    <w:w w:val="95"/>
                    <w:sz w:val="18"/>
                  </w:rPr>
                  <w:instrText> PAGE </w:instrText>
                </w:r>
                <w:r>
                  <w:rPr/>
                  <w:fldChar w:fldCharType="separate"/>
                </w:r>
                <w:r>
                  <w:rPr/>
                  <w:t>10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pt;width:612pt;height:77.061pt;mso-position-horizontal-relative:page;mso-position-vertical-relative:page;z-index:-18088" filled="true" fillcolor="#006345" stroked="false">
          <v:fill type="solid"/>
          <w10:wrap type="non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4.009995pt;margin-top:34.947266pt;width:306.2pt;height:13.05pt;mso-position-horizontal-relative:page;mso-position-vertical-relative:page;z-index:-18016" type="#_x0000_t202" filled="false" stroked="false">
          <v:textbox inset="0,0,0,0">
            <w:txbxContent>
              <w:p>
                <w:pPr>
                  <w:spacing w:before="20"/>
                  <w:ind w:left="20" w:right="0" w:firstLine="0"/>
                  <w:jc w:val="left"/>
                  <w:rPr>
                    <w:rFonts w:ascii="Verdana" w:hAnsi="Verdana"/>
                    <w:sz w:val="18"/>
                  </w:rPr>
                </w:pPr>
                <w:r>
                  <w:rPr>
                    <w:rFonts w:ascii="Verdana" w:hAnsi="Verdana"/>
                    <w:color w:val="585858"/>
                    <w:spacing w:val="10"/>
                    <w:sz w:val="18"/>
                  </w:rPr>
                  <w:t>Loudoun</w:t>
                </w:r>
                <w:r>
                  <w:rPr>
                    <w:rFonts w:ascii="Verdana" w:hAnsi="Verdana"/>
                    <w:color w:val="585858"/>
                    <w:spacing w:val="-4"/>
                    <w:sz w:val="18"/>
                  </w:rPr>
                  <w:t> </w:t>
                </w:r>
                <w:r>
                  <w:rPr>
                    <w:rFonts w:ascii="Verdana" w:hAnsi="Verdana"/>
                    <w:color w:val="585858"/>
                    <w:spacing w:val="10"/>
                    <w:sz w:val="18"/>
                  </w:rPr>
                  <w:t>2040</w:t>
                </w:r>
                <w:r>
                  <w:rPr>
                    <w:rFonts w:ascii="Verdana" w:hAnsi="Verdana"/>
                    <w:color w:val="585858"/>
                    <w:spacing w:val="-5"/>
                    <w:sz w:val="18"/>
                  </w:rPr>
                  <w:t> </w:t>
                </w:r>
                <w:r>
                  <w:rPr>
                    <w:rFonts w:ascii="Verdana" w:hAnsi="Verdana"/>
                    <w:color w:val="585858"/>
                    <w:spacing w:val="10"/>
                    <w:sz w:val="18"/>
                  </w:rPr>
                  <w:t>General</w:t>
                </w:r>
                <w:r>
                  <w:rPr>
                    <w:rFonts w:ascii="Verdana" w:hAnsi="Verdana"/>
                    <w:color w:val="585858"/>
                    <w:spacing w:val="-4"/>
                    <w:sz w:val="18"/>
                  </w:rPr>
                  <w:t> </w:t>
                </w:r>
                <w:r>
                  <w:rPr>
                    <w:rFonts w:ascii="Verdana" w:hAnsi="Verdana"/>
                    <w:color w:val="585858"/>
                    <w:spacing w:val="8"/>
                    <w:sz w:val="18"/>
                  </w:rPr>
                  <w:t>Plan</w:t>
                </w:r>
                <w:r>
                  <w:rPr>
                    <w:rFonts w:ascii="Verdana" w:hAnsi="Verdana"/>
                    <w:color w:val="585858"/>
                    <w:spacing w:val="-3"/>
                    <w:sz w:val="18"/>
                  </w:rPr>
                  <w:t> </w:t>
                </w:r>
                <w:r>
                  <w:rPr>
                    <w:rFonts w:ascii="Symbol" w:hAnsi="Symbol"/>
                    <w:color w:val="585858"/>
                    <w:sz w:val="18"/>
                  </w:rPr>
                  <w:t></w:t>
                </w:r>
                <w:r>
                  <w:rPr>
                    <w:color w:val="585858"/>
                    <w:spacing w:val="-33"/>
                    <w:sz w:val="18"/>
                  </w:rPr>
                  <w:t> </w:t>
                </w:r>
                <w:r>
                  <w:rPr>
                    <w:rFonts w:ascii="Verdana" w:hAnsi="Verdana"/>
                    <w:color w:val="585858"/>
                    <w:spacing w:val="10"/>
                    <w:sz w:val="18"/>
                  </w:rPr>
                  <w:t>Draft</w:t>
                </w:r>
                <w:r>
                  <w:rPr>
                    <w:rFonts w:ascii="Verdana" w:hAnsi="Verdana"/>
                    <w:color w:val="585858"/>
                    <w:spacing w:val="-5"/>
                    <w:sz w:val="18"/>
                  </w:rPr>
                  <w:t> </w:t>
                </w:r>
                <w:r>
                  <w:rPr>
                    <w:rFonts w:ascii="Verdana" w:hAnsi="Verdana"/>
                    <w:color w:val="585858"/>
                    <w:spacing w:val="10"/>
                    <w:sz w:val="18"/>
                  </w:rPr>
                  <w:t>Versi</w:t>
                </w:r>
                <w:r>
                  <w:rPr>
                    <w:rFonts w:ascii="Verdana" w:hAnsi="Verdana"/>
                    <w:color w:val="585858"/>
                    <w:spacing w:val="-52"/>
                    <w:sz w:val="18"/>
                  </w:rPr>
                  <w:t> </w:t>
                </w:r>
                <w:r>
                  <w:rPr>
                    <w:rFonts w:ascii="Verdana" w:hAnsi="Verdana"/>
                    <w:color w:val="585858"/>
                    <w:spacing w:val="5"/>
                    <w:sz w:val="18"/>
                  </w:rPr>
                  <w:t>on</w:t>
                </w:r>
                <w:r>
                  <w:rPr>
                    <w:rFonts w:ascii="Verdana" w:hAnsi="Verdana"/>
                    <w:color w:val="585858"/>
                    <w:spacing w:val="-51"/>
                    <w:sz w:val="18"/>
                  </w:rPr>
                  <w:t> </w:t>
                </w:r>
                <w:r>
                  <w:rPr>
                    <w:rFonts w:ascii="Verdana" w:hAnsi="Verdana"/>
                    <w:color w:val="585858"/>
                    <w:sz w:val="18"/>
                  </w:rPr>
                  <w:t>:</w:t>
                </w:r>
                <w:r>
                  <w:rPr>
                    <w:rFonts w:ascii="Verdana" w:hAnsi="Verdana"/>
                    <w:color w:val="585858"/>
                    <w:spacing w:val="-4"/>
                    <w:sz w:val="18"/>
                  </w:rPr>
                  <w:t> </w:t>
                </w:r>
                <w:r>
                  <w:rPr>
                    <w:rFonts w:ascii="Verdana" w:hAnsi="Verdana"/>
                    <w:color w:val="585858"/>
                    <w:spacing w:val="10"/>
                    <w:sz w:val="18"/>
                  </w:rPr>
                  <w:t>October</w:t>
                </w:r>
                <w:r>
                  <w:rPr>
                    <w:rFonts w:ascii="Verdana" w:hAnsi="Verdana"/>
                    <w:color w:val="585858"/>
                    <w:spacing w:val="-4"/>
                    <w:sz w:val="18"/>
                  </w:rPr>
                  <w:t> </w:t>
                </w:r>
                <w:r>
                  <w:rPr>
                    <w:rFonts w:ascii="Verdana" w:hAnsi="Verdana"/>
                    <w:color w:val="585858"/>
                    <w:spacing w:val="10"/>
                    <w:sz w:val="18"/>
                  </w:rPr>
                  <w:t>23,</w:t>
                </w:r>
                <w:r>
                  <w:rPr>
                    <w:rFonts w:ascii="Verdana" w:hAnsi="Verdana"/>
                    <w:color w:val="585858"/>
                    <w:spacing w:val="-7"/>
                    <w:sz w:val="18"/>
                  </w:rPr>
                  <w:t> </w:t>
                </w:r>
                <w:r>
                  <w:rPr>
                    <w:rFonts w:ascii="Verdana" w:hAnsi="Verdana"/>
                    <w:color w:val="585858"/>
                    <w:spacing w:val="10"/>
                    <w:sz w:val="18"/>
                  </w:rPr>
                  <w:t>2018</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560" w:hanging="360"/>
      </w:pPr>
      <w:rPr>
        <w:rFonts w:hint="default" w:ascii="Symbol" w:hAnsi="Symbol" w:eastAsia="Symbol" w:cs="Symbol"/>
        <w:w w:val="100"/>
        <w:sz w:val="24"/>
        <w:szCs w:val="24"/>
      </w:rPr>
    </w:lvl>
    <w:lvl w:ilvl="1">
      <w:start w:val="0"/>
      <w:numFmt w:val="bullet"/>
      <w:lvlText w:val="•"/>
      <w:lvlJc w:val="left"/>
      <w:pPr>
        <w:ind w:left="2508" w:hanging="360"/>
      </w:pPr>
      <w:rPr>
        <w:rFonts w:hint="default"/>
      </w:rPr>
    </w:lvl>
    <w:lvl w:ilvl="2">
      <w:start w:val="0"/>
      <w:numFmt w:val="bullet"/>
      <w:lvlText w:val="•"/>
      <w:lvlJc w:val="left"/>
      <w:pPr>
        <w:ind w:left="3456" w:hanging="360"/>
      </w:pPr>
      <w:rPr>
        <w:rFonts w:hint="default"/>
      </w:rPr>
    </w:lvl>
    <w:lvl w:ilvl="3">
      <w:start w:val="0"/>
      <w:numFmt w:val="bullet"/>
      <w:lvlText w:val="•"/>
      <w:lvlJc w:val="left"/>
      <w:pPr>
        <w:ind w:left="4404" w:hanging="360"/>
      </w:pPr>
      <w:rPr>
        <w:rFonts w:hint="default"/>
      </w:rPr>
    </w:lvl>
    <w:lvl w:ilvl="4">
      <w:start w:val="0"/>
      <w:numFmt w:val="bullet"/>
      <w:lvlText w:val="•"/>
      <w:lvlJc w:val="left"/>
      <w:pPr>
        <w:ind w:left="5352" w:hanging="360"/>
      </w:pPr>
      <w:rPr>
        <w:rFonts w:hint="default"/>
      </w:rPr>
    </w:lvl>
    <w:lvl w:ilvl="5">
      <w:start w:val="0"/>
      <w:numFmt w:val="bullet"/>
      <w:lvlText w:val="•"/>
      <w:lvlJc w:val="left"/>
      <w:pPr>
        <w:ind w:left="6300" w:hanging="360"/>
      </w:pPr>
      <w:rPr>
        <w:rFonts w:hint="default"/>
      </w:rPr>
    </w:lvl>
    <w:lvl w:ilvl="6">
      <w:start w:val="0"/>
      <w:numFmt w:val="bullet"/>
      <w:lvlText w:val="•"/>
      <w:lvlJc w:val="left"/>
      <w:pPr>
        <w:ind w:left="7248" w:hanging="360"/>
      </w:pPr>
      <w:rPr>
        <w:rFonts w:hint="default"/>
      </w:rPr>
    </w:lvl>
    <w:lvl w:ilvl="7">
      <w:start w:val="0"/>
      <w:numFmt w:val="bullet"/>
      <w:lvlText w:val="•"/>
      <w:lvlJc w:val="left"/>
      <w:pPr>
        <w:ind w:left="8196" w:hanging="360"/>
      </w:pPr>
      <w:rPr>
        <w:rFonts w:hint="default"/>
      </w:rPr>
    </w:lvl>
    <w:lvl w:ilvl="8">
      <w:start w:val="0"/>
      <w:numFmt w:val="bullet"/>
      <w:lvlText w:val="•"/>
      <w:lvlJc w:val="left"/>
      <w:pPr>
        <w:ind w:left="9144" w:hanging="360"/>
      </w:pPr>
      <w:rPr>
        <w:rFonts w:hint="default"/>
      </w:rPr>
    </w:lvl>
  </w:abstractNum>
  <w:abstractNum w:abstractNumId="0">
    <w:multiLevelType w:val="hybridMultilevel"/>
    <w:lvl w:ilvl="0">
      <w:start w:val="0"/>
      <w:numFmt w:val="bullet"/>
      <w:lvlText w:val=""/>
      <w:lvlJc w:val="left"/>
      <w:pPr>
        <w:ind w:left="684" w:hanging="360"/>
      </w:pPr>
      <w:rPr>
        <w:rFonts w:hint="default" w:ascii="Symbol" w:hAnsi="Symbol" w:eastAsia="Symbol" w:cs="Symbol"/>
        <w:w w:val="100"/>
        <w:sz w:val="22"/>
        <w:szCs w:val="22"/>
      </w:rPr>
    </w:lvl>
    <w:lvl w:ilvl="1">
      <w:start w:val="0"/>
      <w:numFmt w:val="bullet"/>
      <w:lvlText w:val="•"/>
      <w:lvlJc w:val="left"/>
      <w:pPr>
        <w:ind w:left="1538" w:hanging="360"/>
      </w:pPr>
      <w:rPr>
        <w:rFonts w:hint="default"/>
      </w:rPr>
    </w:lvl>
    <w:lvl w:ilvl="2">
      <w:start w:val="0"/>
      <w:numFmt w:val="bullet"/>
      <w:lvlText w:val="•"/>
      <w:lvlJc w:val="left"/>
      <w:pPr>
        <w:ind w:left="2397" w:hanging="360"/>
      </w:pPr>
      <w:rPr>
        <w:rFonts w:hint="default"/>
      </w:rPr>
    </w:lvl>
    <w:lvl w:ilvl="3">
      <w:start w:val="0"/>
      <w:numFmt w:val="bullet"/>
      <w:lvlText w:val="•"/>
      <w:lvlJc w:val="left"/>
      <w:pPr>
        <w:ind w:left="3255" w:hanging="360"/>
      </w:pPr>
      <w:rPr>
        <w:rFonts w:hint="default"/>
      </w:rPr>
    </w:lvl>
    <w:lvl w:ilvl="4">
      <w:start w:val="0"/>
      <w:numFmt w:val="bullet"/>
      <w:lvlText w:val="•"/>
      <w:lvlJc w:val="left"/>
      <w:pPr>
        <w:ind w:left="4114" w:hanging="360"/>
      </w:pPr>
      <w:rPr>
        <w:rFonts w:hint="default"/>
      </w:rPr>
    </w:lvl>
    <w:lvl w:ilvl="5">
      <w:start w:val="0"/>
      <w:numFmt w:val="bullet"/>
      <w:lvlText w:val="•"/>
      <w:lvlJc w:val="left"/>
      <w:pPr>
        <w:ind w:left="4972" w:hanging="360"/>
      </w:pPr>
      <w:rPr>
        <w:rFonts w:hint="default"/>
      </w:rPr>
    </w:lvl>
    <w:lvl w:ilvl="6">
      <w:start w:val="0"/>
      <w:numFmt w:val="bullet"/>
      <w:lvlText w:val="•"/>
      <w:lvlJc w:val="left"/>
      <w:pPr>
        <w:ind w:left="5831" w:hanging="360"/>
      </w:pPr>
      <w:rPr>
        <w:rFonts w:hint="default"/>
      </w:rPr>
    </w:lvl>
    <w:lvl w:ilvl="7">
      <w:start w:val="0"/>
      <w:numFmt w:val="bullet"/>
      <w:lvlText w:val="•"/>
      <w:lvlJc w:val="left"/>
      <w:pPr>
        <w:ind w:left="6689" w:hanging="360"/>
      </w:pPr>
      <w:rPr>
        <w:rFonts w:hint="default"/>
      </w:rPr>
    </w:lvl>
    <w:lvl w:ilvl="8">
      <w:start w:val="0"/>
      <w:numFmt w:val="bullet"/>
      <w:lvlText w:val="•"/>
      <w:lvlJc w:val="left"/>
      <w:pPr>
        <w:ind w:left="7548" w:hanging="360"/>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23"/>
      <w:ind w:left="1440"/>
    </w:pPr>
    <w:rPr>
      <w:rFonts w:ascii="Times New Roman" w:hAnsi="Times New Roman" w:eastAsia="Times New Roman" w:cs="Times New Roman"/>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168"/>
      <w:ind w:left="840"/>
      <w:jc w:val="both"/>
      <w:outlineLvl w:val="1"/>
    </w:pPr>
    <w:rPr>
      <w:rFonts w:ascii="Verdana" w:hAnsi="Verdana" w:eastAsia="Verdana" w:cs="Verdana"/>
      <w:b/>
      <w:bCs/>
      <w:sz w:val="32"/>
      <w:szCs w:val="32"/>
    </w:rPr>
  </w:style>
  <w:style w:styleId="Heading2" w:type="paragraph">
    <w:name w:val="Heading 2"/>
    <w:basedOn w:val="Normal"/>
    <w:uiPriority w:val="1"/>
    <w:qFormat/>
    <w:pPr>
      <w:spacing w:before="238"/>
      <w:ind w:left="840"/>
      <w:outlineLvl w:val="2"/>
    </w:pPr>
    <w:rPr>
      <w:rFonts w:ascii="Trebuchet MS" w:hAnsi="Trebuchet MS" w:eastAsia="Trebuchet MS" w:cs="Trebuchet MS"/>
      <w:b/>
      <w:bCs/>
      <w:sz w:val="28"/>
      <w:szCs w:val="28"/>
    </w:rPr>
  </w:style>
  <w:style w:styleId="Heading3" w:type="paragraph">
    <w:name w:val="Heading 3"/>
    <w:basedOn w:val="Normal"/>
    <w:uiPriority w:val="1"/>
    <w:qFormat/>
    <w:pPr>
      <w:spacing w:line="305" w:lineRule="exact"/>
      <w:ind w:left="867"/>
      <w:outlineLvl w:val="3"/>
    </w:pPr>
    <w:rPr>
      <w:rFonts w:ascii="Verdana" w:hAnsi="Verdana" w:eastAsia="Verdana" w:cs="Verdana"/>
      <w:b/>
      <w:bCs/>
      <w:sz w:val="26"/>
      <w:szCs w:val="26"/>
    </w:rPr>
  </w:style>
  <w:style w:styleId="Heading4" w:type="paragraph">
    <w:name w:val="Heading 4"/>
    <w:basedOn w:val="Normal"/>
    <w:uiPriority w:val="1"/>
    <w:qFormat/>
    <w:pPr>
      <w:spacing w:before="36"/>
      <w:ind w:left="95"/>
      <w:outlineLvl w:val="4"/>
    </w:pPr>
    <w:rPr>
      <w:rFonts w:ascii="Verdana" w:hAnsi="Verdana" w:eastAsia="Verdana" w:cs="Verdana"/>
      <w:b/>
      <w:bCs/>
      <w:sz w:val="24"/>
      <w:szCs w:val="24"/>
    </w:rPr>
  </w:style>
  <w:style w:styleId="ListParagraph" w:type="paragraph">
    <w:name w:val="List Paragraph"/>
    <w:basedOn w:val="Normal"/>
    <w:uiPriority w:val="1"/>
    <w:qFormat/>
    <w:pPr>
      <w:ind w:left="1560" w:right="834" w:hanging="360"/>
      <w:jc w:val="both"/>
    </w:pPr>
    <w:rPr>
      <w:rFonts w:ascii="Times New Roman" w:hAnsi="Times New Roman" w:eastAsia="Times New Roman" w:cs="Times New Roman"/>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jpeg"/><Relationship Id="rId21" Type="http://schemas.openxmlformats.org/officeDocument/2006/relationships/footer" Target="footer3.xml"/><Relationship Id="rId22" Type="http://schemas.openxmlformats.org/officeDocument/2006/relationships/footer" Target="footer4.xml"/><Relationship Id="rId23" Type="http://schemas.openxmlformats.org/officeDocument/2006/relationships/footer" Target="footer5.xml"/><Relationship Id="rId24" Type="http://schemas.openxmlformats.org/officeDocument/2006/relationships/header" Target="header3.xml"/><Relationship Id="rId25" Type="http://schemas.openxmlformats.org/officeDocument/2006/relationships/footer" Target="footer6.xml"/><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2018-11-25T17:53:43Z</dcterms:created>
  <dcterms:modified xsi:type="dcterms:W3CDTF">2018-11-25T17:53:43Z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2018-11-25T00:00:00Z</vt:filetime>
  </property>
  <property fmtid="{D5CDD505-2E9C-101B-9397-08002B2CF9AE}" pid="3" name="Creator">
    <vt:lpwstr>PDFium</vt:lpwstr>
  </property>
  <property fmtid="{D5CDD505-2E9C-101B-9397-08002B2CF9AE}" pid="4" name="LastSaved">
    <vt:filetime>2018-11-25T00:00:00Z</vt:filetime>
  </property>
</Properties>
</file>